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7693" w14:textId="77777777" w:rsidR="00134FEB" w:rsidRPr="00134FEB" w:rsidRDefault="00134FEB" w:rsidP="002349E7">
      <w:pPr>
        <w:pStyle w:val="paragraph"/>
        <w:spacing w:before="0" w:beforeAutospacing="0" w:after="0" w:afterAutospacing="0"/>
        <w:jc w:val="center"/>
        <w:textAlignment w:val="baseline"/>
        <w:rPr>
          <w:rStyle w:val="normaltextrun"/>
          <w:rFonts w:ascii="Rubik" w:hAnsi="Rubik" w:cs="Rubik"/>
          <w:b/>
          <w:bCs/>
          <w:color w:val="000000"/>
          <w:sz w:val="28"/>
          <w:szCs w:val="28"/>
          <w:u w:val="single"/>
        </w:rPr>
      </w:pPr>
    </w:p>
    <w:p w14:paraId="2BA194EC" w14:textId="70DAFD12" w:rsidR="00134FEB" w:rsidRPr="00134FEB" w:rsidRDefault="00134FEB" w:rsidP="002349E7">
      <w:pPr>
        <w:pStyle w:val="paragraph"/>
        <w:spacing w:before="0" w:beforeAutospacing="0" w:after="0" w:afterAutospacing="0"/>
        <w:jc w:val="center"/>
        <w:textAlignment w:val="baseline"/>
        <w:rPr>
          <w:rStyle w:val="normaltextrun"/>
          <w:rFonts w:ascii="Rubik" w:hAnsi="Rubik" w:cs="Rubik"/>
          <w:b/>
          <w:bCs/>
          <w:color w:val="000000"/>
          <w:sz w:val="28"/>
          <w:szCs w:val="28"/>
          <w:u w:val="single"/>
        </w:rPr>
      </w:pPr>
    </w:p>
    <w:p w14:paraId="1C2B857D" w14:textId="4CACE041" w:rsidR="00134FEB" w:rsidRPr="00134FEB" w:rsidRDefault="00134FEB" w:rsidP="002349E7">
      <w:pPr>
        <w:pStyle w:val="paragraph"/>
        <w:spacing w:before="0" w:beforeAutospacing="0" w:after="0" w:afterAutospacing="0"/>
        <w:jc w:val="center"/>
        <w:textAlignment w:val="baseline"/>
        <w:rPr>
          <w:rStyle w:val="normaltextrun"/>
          <w:rFonts w:ascii="Rubik" w:hAnsi="Rubik" w:cs="Rubik"/>
          <w:b/>
          <w:bCs/>
          <w:color w:val="000000"/>
          <w:sz w:val="28"/>
          <w:szCs w:val="28"/>
          <w:u w:val="single"/>
        </w:rPr>
      </w:pPr>
    </w:p>
    <w:p w14:paraId="1F240145" w14:textId="77777777" w:rsidR="00134FEB" w:rsidRPr="00134FEB" w:rsidRDefault="00134FEB" w:rsidP="002349E7">
      <w:pPr>
        <w:pStyle w:val="paragraph"/>
        <w:spacing w:before="0" w:beforeAutospacing="0" w:after="0" w:afterAutospacing="0"/>
        <w:jc w:val="center"/>
        <w:textAlignment w:val="baseline"/>
        <w:rPr>
          <w:rStyle w:val="normaltextrun"/>
          <w:rFonts w:ascii="Rubik" w:hAnsi="Rubik" w:cs="Rubik"/>
          <w:b/>
          <w:bCs/>
          <w:color w:val="000000"/>
          <w:sz w:val="28"/>
          <w:szCs w:val="28"/>
          <w:u w:val="single"/>
        </w:rPr>
      </w:pPr>
    </w:p>
    <w:p w14:paraId="0D115264" w14:textId="721BB2A7" w:rsidR="007328AA" w:rsidRPr="00134FEB" w:rsidRDefault="002349E7" w:rsidP="002349E7">
      <w:pPr>
        <w:pStyle w:val="paragraph"/>
        <w:spacing w:before="0" w:beforeAutospacing="0" w:after="0" w:afterAutospacing="0"/>
        <w:jc w:val="center"/>
        <w:textAlignment w:val="baseline"/>
        <w:rPr>
          <w:rStyle w:val="normaltextrun"/>
          <w:rFonts w:ascii="Rubik" w:hAnsi="Rubik" w:cs="Rubik"/>
          <w:b/>
          <w:bCs/>
          <w:color w:val="000000"/>
          <w:sz w:val="28"/>
          <w:szCs w:val="28"/>
          <w:u w:val="single"/>
        </w:rPr>
      </w:pPr>
      <w:r w:rsidRPr="00134FEB">
        <w:rPr>
          <w:rStyle w:val="normaltextrun"/>
          <w:rFonts w:ascii="Rubik" w:hAnsi="Rubik" w:cs="Rubik"/>
          <w:b/>
          <w:bCs/>
          <w:color w:val="000000"/>
          <w:sz w:val="28"/>
          <w:szCs w:val="28"/>
          <w:u w:val="single"/>
        </w:rPr>
        <w:t>NHS Low Calorie Diet Programme</w:t>
      </w:r>
      <w:r w:rsidR="007328AA" w:rsidRPr="00134FEB">
        <w:rPr>
          <w:rStyle w:val="normaltextrun"/>
          <w:rFonts w:ascii="Rubik" w:hAnsi="Rubik" w:cs="Rubik"/>
          <w:b/>
          <w:bCs/>
          <w:color w:val="000000"/>
          <w:sz w:val="28"/>
          <w:szCs w:val="28"/>
          <w:u w:val="single"/>
        </w:rPr>
        <w:t xml:space="preserve"> </w:t>
      </w:r>
    </w:p>
    <w:p w14:paraId="65ED873F" w14:textId="527D317E" w:rsidR="002349E7" w:rsidRPr="00134FEB" w:rsidRDefault="007328AA" w:rsidP="002349E7">
      <w:pPr>
        <w:pStyle w:val="paragraph"/>
        <w:spacing w:before="0" w:beforeAutospacing="0" w:after="0" w:afterAutospacing="0"/>
        <w:jc w:val="center"/>
        <w:textAlignment w:val="baseline"/>
        <w:rPr>
          <w:rFonts w:ascii="Rubik" w:hAnsi="Rubik" w:cs="Rubik"/>
          <w:b/>
          <w:color w:val="000000"/>
          <w:sz w:val="18"/>
          <w:szCs w:val="18"/>
          <w:u w:val="single"/>
        </w:rPr>
      </w:pPr>
      <w:r w:rsidRPr="00134FEB">
        <w:rPr>
          <w:rStyle w:val="normaltextrun"/>
          <w:rFonts w:ascii="Rubik" w:hAnsi="Rubik" w:cs="Rubik"/>
          <w:b/>
          <w:bCs/>
          <w:color w:val="000000"/>
          <w:sz w:val="28"/>
          <w:szCs w:val="28"/>
          <w:u w:val="single"/>
        </w:rPr>
        <w:t xml:space="preserve">Eligibility Criteria </w:t>
      </w:r>
      <w:r w:rsidRPr="00134FEB">
        <w:rPr>
          <w:rStyle w:val="eop"/>
          <w:rFonts w:ascii="Rubik" w:hAnsi="Rubik" w:cs="Rubik"/>
          <w:b/>
          <w:color w:val="000000"/>
          <w:sz w:val="28"/>
          <w:szCs w:val="28"/>
          <w:u w:val="single"/>
        </w:rPr>
        <w:t xml:space="preserve">&amp; Referrer Responsibilities </w:t>
      </w:r>
    </w:p>
    <w:p w14:paraId="646A7B7D" w14:textId="77777777" w:rsidR="002349E7" w:rsidRPr="00134FEB" w:rsidRDefault="002349E7" w:rsidP="002349E7">
      <w:pPr>
        <w:pStyle w:val="paragraph"/>
        <w:spacing w:before="0" w:beforeAutospacing="0" w:after="0" w:afterAutospacing="0"/>
        <w:jc w:val="center"/>
        <w:textAlignment w:val="baseline"/>
        <w:rPr>
          <w:rFonts w:ascii="Rubik" w:hAnsi="Rubik" w:cs="Rubik"/>
          <w:color w:val="000000"/>
          <w:sz w:val="18"/>
          <w:szCs w:val="18"/>
        </w:rPr>
      </w:pPr>
      <w:r w:rsidRPr="00134FEB">
        <w:rPr>
          <w:rStyle w:val="eop"/>
          <w:rFonts w:ascii="Rubik" w:hAnsi="Rubik" w:cs="Rubik"/>
          <w:color w:val="000000"/>
          <w:sz w:val="4"/>
          <w:szCs w:val="4"/>
        </w:rPr>
        <w:t> </w:t>
      </w:r>
    </w:p>
    <w:p w14:paraId="6410510F" w14:textId="77777777" w:rsidR="002349E7" w:rsidRPr="00134FEB" w:rsidRDefault="002349E7" w:rsidP="002349E7">
      <w:pPr>
        <w:pStyle w:val="paragraph"/>
        <w:spacing w:before="0" w:beforeAutospacing="0" w:after="0" w:afterAutospacing="0"/>
        <w:textAlignment w:val="baseline"/>
        <w:rPr>
          <w:rFonts w:ascii="Rubik" w:hAnsi="Rubik" w:cs="Rubik"/>
          <w:color w:val="000000"/>
          <w:sz w:val="18"/>
          <w:szCs w:val="18"/>
        </w:rPr>
      </w:pPr>
      <w:r w:rsidRPr="00134FEB">
        <w:rPr>
          <w:rStyle w:val="eop"/>
          <w:rFonts w:ascii="Rubik" w:hAnsi="Rubik" w:cs="Rubik"/>
          <w:color w:val="000000"/>
          <w:sz w:val="26"/>
          <w:szCs w:val="26"/>
        </w:rPr>
        <w:t> </w:t>
      </w:r>
    </w:p>
    <w:p w14:paraId="6102A6CE" w14:textId="77777777" w:rsidR="002349E7" w:rsidRPr="00134FEB" w:rsidRDefault="002349E7" w:rsidP="00AA05CE">
      <w:pPr>
        <w:pStyle w:val="paragraph"/>
        <w:spacing w:before="0" w:beforeAutospacing="0" w:after="0" w:afterAutospacing="0"/>
        <w:jc w:val="both"/>
        <w:textAlignment w:val="baseline"/>
        <w:rPr>
          <w:rFonts w:ascii="Rubik" w:hAnsi="Rubik" w:cs="Rubik"/>
          <w:color w:val="000000"/>
          <w:sz w:val="18"/>
          <w:szCs w:val="18"/>
        </w:rPr>
      </w:pPr>
      <w:r w:rsidRPr="00134FEB">
        <w:rPr>
          <w:rStyle w:val="normaltextrun"/>
          <w:rFonts w:ascii="Rubik" w:hAnsi="Rubik" w:cs="Rubik"/>
          <w:color w:val="000000"/>
          <w:sz w:val="21"/>
          <w:szCs w:val="21"/>
        </w:rPr>
        <w:t>The NHS Low Calorie Diet Programme is an evidence-based intervention using Total Diet Replacement (TDR) to support people recently diagnosed with Type 2 diabetes to achieve significant weight loss and potentially attain diabetes remission (non-diabetic HbA1c results, at least 6 months apart, off all glucose-lowering medicines). There is no cost to participants with all TDR (usually shakes) funded by the NHS.</w:t>
      </w:r>
      <w:r w:rsidRPr="00134FEB">
        <w:rPr>
          <w:rStyle w:val="eop"/>
          <w:rFonts w:ascii="Rubik" w:hAnsi="Rubik" w:cs="Rubik"/>
          <w:color w:val="000000"/>
          <w:sz w:val="21"/>
          <w:szCs w:val="21"/>
        </w:rPr>
        <w:t> </w:t>
      </w:r>
    </w:p>
    <w:p w14:paraId="3DC61E6D" w14:textId="77777777" w:rsidR="002349E7" w:rsidRPr="00134FEB" w:rsidRDefault="002349E7" w:rsidP="00AA05CE">
      <w:pPr>
        <w:pStyle w:val="paragraph"/>
        <w:spacing w:before="0" w:beforeAutospacing="0" w:after="0" w:afterAutospacing="0"/>
        <w:jc w:val="both"/>
        <w:textAlignment w:val="baseline"/>
        <w:rPr>
          <w:rFonts w:ascii="Rubik" w:hAnsi="Rubik" w:cs="Rubik"/>
          <w:color w:val="000000"/>
          <w:sz w:val="18"/>
          <w:szCs w:val="18"/>
        </w:rPr>
      </w:pPr>
      <w:r w:rsidRPr="00134FEB">
        <w:rPr>
          <w:rStyle w:val="eop"/>
          <w:rFonts w:ascii="Rubik" w:hAnsi="Rubik" w:cs="Rubik"/>
          <w:color w:val="000000"/>
          <w:sz w:val="21"/>
          <w:szCs w:val="21"/>
        </w:rPr>
        <w:t> </w:t>
      </w:r>
    </w:p>
    <w:p w14:paraId="748A2385" w14:textId="77777777" w:rsidR="002349E7" w:rsidRPr="00134FEB" w:rsidRDefault="002349E7" w:rsidP="00AA05CE">
      <w:pPr>
        <w:pStyle w:val="paragraph"/>
        <w:spacing w:before="0" w:beforeAutospacing="0" w:after="0" w:afterAutospacing="0"/>
        <w:jc w:val="both"/>
        <w:textAlignment w:val="baseline"/>
        <w:rPr>
          <w:rFonts w:ascii="Rubik" w:hAnsi="Rubik" w:cs="Rubik"/>
          <w:color w:val="000000"/>
          <w:sz w:val="18"/>
          <w:szCs w:val="18"/>
        </w:rPr>
      </w:pPr>
      <w:r w:rsidRPr="00134FEB">
        <w:rPr>
          <w:rStyle w:val="normaltextrun"/>
          <w:rFonts w:ascii="Rubik" w:hAnsi="Rubik" w:cs="Rubik"/>
          <w:color w:val="000000"/>
          <w:sz w:val="21"/>
          <w:szCs w:val="21"/>
        </w:rPr>
        <w:t>This service is provided by </w:t>
      </w:r>
      <w:r w:rsidRPr="00134FEB">
        <w:rPr>
          <w:rStyle w:val="normaltextrun"/>
          <w:rFonts w:ascii="Rubik" w:hAnsi="Rubik" w:cs="Rubik"/>
          <w:color w:val="1A1A1A"/>
          <w:sz w:val="21"/>
          <w:szCs w:val="21"/>
        </w:rPr>
        <w:t>Xyla Health &amp; Wellbeing (Formally ICS Health &amp; Wellbeing). </w:t>
      </w:r>
      <w:r w:rsidRPr="00134FEB">
        <w:rPr>
          <w:rStyle w:val="eop"/>
          <w:rFonts w:ascii="Rubik" w:hAnsi="Rubik" w:cs="Rubik"/>
          <w:color w:val="1A1A1A"/>
          <w:sz w:val="21"/>
          <w:szCs w:val="21"/>
        </w:rPr>
        <w:t> </w:t>
      </w:r>
    </w:p>
    <w:p w14:paraId="7281A30B" w14:textId="77777777" w:rsidR="002349E7" w:rsidRPr="00134FEB" w:rsidRDefault="002349E7" w:rsidP="00AA05CE">
      <w:pPr>
        <w:pStyle w:val="paragraph"/>
        <w:spacing w:before="0" w:beforeAutospacing="0" w:after="0" w:afterAutospacing="0"/>
        <w:jc w:val="both"/>
        <w:textAlignment w:val="baseline"/>
        <w:rPr>
          <w:rFonts w:ascii="Rubik" w:hAnsi="Rubik" w:cs="Rubik"/>
          <w:color w:val="000000"/>
          <w:sz w:val="18"/>
          <w:szCs w:val="18"/>
        </w:rPr>
      </w:pPr>
      <w:r w:rsidRPr="00134FEB">
        <w:rPr>
          <w:rStyle w:val="eop"/>
          <w:rFonts w:ascii="Rubik" w:hAnsi="Rubik" w:cs="Rubik"/>
          <w:color w:val="000000"/>
          <w:sz w:val="26"/>
          <w:szCs w:val="26"/>
        </w:rPr>
        <w:t> </w:t>
      </w:r>
    </w:p>
    <w:p w14:paraId="7258D567" w14:textId="77777777" w:rsidR="002349E7" w:rsidRPr="00134FEB" w:rsidRDefault="002349E7" w:rsidP="00AA05CE">
      <w:pPr>
        <w:pStyle w:val="paragraph"/>
        <w:spacing w:before="0" w:beforeAutospacing="0" w:after="0" w:afterAutospacing="0"/>
        <w:jc w:val="both"/>
        <w:textAlignment w:val="baseline"/>
        <w:rPr>
          <w:rFonts w:ascii="Rubik" w:hAnsi="Rubik" w:cs="Rubik"/>
          <w:color w:val="000000"/>
          <w:sz w:val="18"/>
          <w:szCs w:val="18"/>
        </w:rPr>
      </w:pPr>
      <w:r w:rsidRPr="00134FEB">
        <w:rPr>
          <w:rStyle w:val="normaltextrun"/>
          <w:rFonts w:ascii="Rubik" w:hAnsi="Rubik" w:cs="Rubik"/>
          <w:b/>
          <w:bCs/>
          <w:color w:val="000000"/>
          <w:sz w:val="21"/>
          <w:szCs w:val="21"/>
        </w:rPr>
        <w:t>Individuals who satisfy all the following eligibility criteria may be referred to the Service: </w:t>
      </w:r>
      <w:r w:rsidRPr="00134FEB">
        <w:rPr>
          <w:rStyle w:val="eop"/>
          <w:rFonts w:ascii="Rubik" w:hAnsi="Rubik" w:cs="Rubik"/>
          <w:color w:val="000000"/>
          <w:sz w:val="21"/>
          <w:szCs w:val="21"/>
        </w:rPr>
        <w:t> </w:t>
      </w:r>
    </w:p>
    <w:p w14:paraId="54FFCCB9" w14:textId="77777777" w:rsidR="002349E7" w:rsidRPr="00134FEB" w:rsidRDefault="002349E7" w:rsidP="00AA05CE">
      <w:pPr>
        <w:pStyle w:val="paragraph"/>
        <w:numPr>
          <w:ilvl w:val="0"/>
          <w:numId w:val="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Aged 18 to 65 years (inclusive)</w:t>
      </w:r>
      <w:r w:rsidRPr="00134FEB">
        <w:rPr>
          <w:rStyle w:val="eop"/>
          <w:rFonts w:ascii="Rubik" w:hAnsi="Rubik" w:cs="Rubik"/>
          <w:sz w:val="21"/>
          <w:szCs w:val="21"/>
        </w:rPr>
        <w:t> </w:t>
      </w:r>
    </w:p>
    <w:p w14:paraId="745DBC3B" w14:textId="77777777" w:rsidR="002349E7" w:rsidRPr="00134FEB" w:rsidRDefault="002349E7" w:rsidP="00AA05CE">
      <w:pPr>
        <w:pStyle w:val="paragraph"/>
        <w:numPr>
          <w:ilvl w:val="0"/>
          <w:numId w:val="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Diagnosed with Type 2 diabetes within the last 6 years </w:t>
      </w:r>
      <w:r w:rsidRPr="00134FEB">
        <w:rPr>
          <w:rStyle w:val="eop"/>
          <w:rFonts w:ascii="Rubik" w:hAnsi="Rubik" w:cs="Rubik"/>
          <w:sz w:val="21"/>
          <w:szCs w:val="21"/>
        </w:rPr>
        <w:t> </w:t>
      </w:r>
      <w:bookmarkStart w:id="0" w:name="_GoBack"/>
      <w:bookmarkEnd w:id="0"/>
    </w:p>
    <w:p w14:paraId="4B0B1A45" w14:textId="77777777" w:rsidR="002349E7" w:rsidRPr="00134FEB" w:rsidRDefault="002349E7" w:rsidP="00AA05CE">
      <w:pPr>
        <w:pStyle w:val="paragraph"/>
        <w:numPr>
          <w:ilvl w:val="0"/>
          <w:numId w:val="5"/>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Is not a current insulin user</w:t>
      </w:r>
      <w:r w:rsidRPr="00134FEB">
        <w:rPr>
          <w:rStyle w:val="eop"/>
          <w:rFonts w:ascii="Rubik" w:hAnsi="Rubik" w:cs="Rubik"/>
          <w:sz w:val="21"/>
          <w:szCs w:val="21"/>
        </w:rPr>
        <w:t> </w:t>
      </w:r>
    </w:p>
    <w:p w14:paraId="03FBA635" w14:textId="77777777" w:rsidR="002349E7" w:rsidRPr="00134FEB" w:rsidRDefault="002349E7" w:rsidP="00AA05CE">
      <w:pPr>
        <w:pStyle w:val="paragraph"/>
        <w:numPr>
          <w:ilvl w:val="0"/>
          <w:numId w:val="5"/>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BMI </w:t>
      </w:r>
      <w:r w:rsidRPr="00134FEB">
        <w:rPr>
          <w:rStyle w:val="normaltextrun"/>
          <w:rFonts w:ascii="Rubik" w:hAnsi="Rubik" w:cs="Rubik"/>
          <w:color w:val="222222"/>
          <w:sz w:val="21"/>
          <w:szCs w:val="21"/>
          <w:shd w:val="clear" w:color="auto" w:fill="FFFFFF"/>
        </w:rPr>
        <w:t>≥ </w:t>
      </w:r>
      <w:r w:rsidRPr="00134FEB">
        <w:rPr>
          <w:rStyle w:val="normaltextrun"/>
          <w:rFonts w:ascii="Rubik" w:hAnsi="Rubik" w:cs="Rubik"/>
          <w:sz w:val="21"/>
          <w:szCs w:val="21"/>
        </w:rPr>
        <w:t>27kg/m² (adjusted to </w:t>
      </w:r>
      <w:r w:rsidRPr="00134FEB">
        <w:rPr>
          <w:rStyle w:val="normaltextrun"/>
          <w:rFonts w:ascii="Rubik" w:hAnsi="Rubik" w:cs="Rubik"/>
          <w:color w:val="222222"/>
          <w:sz w:val="21"/>
          <w:szCs w:val="21"/>
          <w:shd w:val="clear" w:color="auto" w:fill="FFFFFF"/>
        </w:rPr>
        <w:t>≥</w:t>
      </w:r>
      <w:r w:rsidRPr="00134FEB">
        <w:rPr>
          <w:rStyle w:val="normaltextrun"/>
          <w:rFonts w:ascii="Rubik" w:hAnsi="Rubik" w:cs="Rubik"/>
          <w:sz w:val="21"/>
          <w:szCs w:val="21"/>
        </w:rPr>
        <w:t> 25kg/m² in people of black, Asian and minority ethnic origin)</w:t>
      </w:r>
      <w:r w:rsidRPr="00134FEB">
        <w:rPr>
          <w:rStyle w:val="eop"/>
          <w:rFonts w:ascii="Rubik" w:hAnsi="Rubik" w:cs="Rubik"/>
          <w:sz w:val="21"/>
          <w:szCs w:val="21"/>
        </w:rPr>
        <w:t> </w:t>
      </w:r>
    </w:p>
    <w:p w14:paraId="6823EA43" w14:textId="77777777" w:rsidR="002349E7" w:rsidRPr="00134FEB" w:rsidRDefault="002349E7" w:rsidP="00AA05CE">
      <w:pPr>
        <w:pStyle w:val="paragraph"/>
        <w:numPr>
          <w:ilvl w:val="0"/>
          <w:numId w:val="6"/>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BMI obtained from self-measured weight is acceptable for referral. If this cannot be obtained, a clinic-measured value within the last 12 months may be used, provided there is no concern that weight may have reduced since last measured such that the individual would not be eligible for the LCD programme at present</w:t>
      </w:r>
      <w:r w:rsidRPr="00134FEB">
        <w:rPr>
          <w:rStyle w:val="eop"/>
          <w:rFonts w:ascii="Rubik" w:hAnsi="Rubik" w:cs="Rubik"/>
          <w:sz w:val="21"/>
          <w:szCs w:val="21"/>
        </w:rPr>
        <w:t> </w:t>
      </w:r>
    </w:p>
    <w:p w14:paraId="44DEF038" w14:textId="77777777" w:rsidR="002349E7" w:rsidRPr="00134FEB" w:rsidRDefault="002349E7" w:rsidP="00AA05CE">
      <w:pPr>
        <w:pStyle w:val="paragraph"/>
        <w:numPr>
          <w:ilvl w:val="0"/>
          <w:numId w:val="7"/>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HbA1c measurement taken within the last 12 months, in line with the following:</w:t>
      </w:r>
      <w:r w:rsidRPr="00134FEB">
        <w:rPr>
          <w:rStyle w:val="eop"/>
          <w:rFonts w:ascii="Rubik" w:hAnsi="Rubik" w:cs="Rubik"/>
          <w:sz w:val="21"/>
          <w:szCs w:val="21"/>
        </w:rPr>
        <w:t> </w:t>
      </w:r>
    </w:p>
    <w:p w14:paraId="37B2730E" w14:textId="77777777" w:rsidR="002349E7" w:rsidRPr="00134FEB" w:rsidRDefault="002349E7" w:rsidP="00AA05CE">
      <w:pPr>
        <w:pStyle w:val="paragraph"/>
        <w:numPr>
          <w:ilvl w:val="0"/>
          <w:numId w:val="8"/>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If on diabetes medication, HbA1c 43-87 mmol/mol</w:t>
      </w:r>
      <w:r w:rsidRPr="00134FEB">
        <w:rPr>
          <w:rStyle w:val="eop"/>
          <w:rFonts w:ascii="Rubik" w:hAnsi="Rubik" w:cs="Rubik"/>
          <w:sz w:val="21"/>
          <w:szCs w:val="21"/>
        </w:rPr>
        <w:t> </w:t>
      </w:r>
    </w:p>
    <w:p w14:paraId="53F4AA57" w14:textId="77777777" w:rsidR="002349E7" w:rsidRPr="00134FEB" w:rsidRDefault="002349E7" w:rsidP="00AA05CE">
      <w:pPr>
        <w:pStyle w:val="paragraph"/>
        <w:numPr>
          <w:ilvl w:val="0"/>
          <w:numId w:val="9"/>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If not on diabetes medication, HbA1c 48-87 mmol/mol</w:t>
      </w:r>
      <w:r w:rsidRPr="00134FEB">
        <w:rPr>
          <w:rStyle w:val="eop"/>
          <w:rFonts w:ascii="Rubik" w:hAnsi="Rubik" w:cs="Rubik"/>
          <w:sz w:val="21"/>
          <w:szCs w:val="21"/>
        </w:rPr>
        <w:t> </w:t>
      </w:r>
    </w:p>
    <w:p w14:paraId="6C37A5AB" w14:textId="77777777" w:rsidR="002349E7" w:rsidRPr="00134FEB" w:rsidRDefault="002349E7" w:rsidP="00AA05CE">
      <w:pPr>
        <w:pStyle w:val="paragraph"/>
        <w:numPr>
          <w:ilvl w:val="0"/>
          <w:numId w:val="9"/>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If there is any concern that HbA1c may have changed since last measured, such that repeat testing may indicate that the individual would not be eligible for the LCD programme at present, HbA1c should be rechecked before referral is considered</w:t>
      </w:r>
      <w:r w:rsidRPr="00134FEB">
        <w:rPr>
          <w:rStyle w:val="normaltextrun"/>
          <w:sz w:val="21"/>
          <w:szCs w:val="21"/>
        </w:rPr>
        <w:t>​</w:t>
      </w:r>
      <w:r w:rsidRPr="00134FEB">
        <w:rPr>
          <w:rStyle w:val="eop"/>
          <w:rFonts w:ascii="Rubik" w:hAnsi="Rubik" w:cs="Rubik"/>
          <w:sz w:val="21"/>
          <w:szCs w:val="21"/>
        </w:rPr>
        <w:t> </w:t>
      </w:r>
    </w:p>
    <w:p w14:paraId="2DDB77B3" w14:textId="77777777" w:rsidR="002349E7" w:rsidRPr="00134FEB" w:rsidRDefault="002349E7" w:rsidP="00AA05CE">
      <w:pPr>
        <w:pStyle w:val="paragraph"/>
        <w:numPr>
          <w:ilvl w:val="0"/>
          <w:numId w:val="10"/>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Must have attended for monitoring and diabetes review when last offered, including retinal screening, and commit to continue attending annual reviews, even if remission is achieved</w:t>
      </w:r>
      <w:r w:rsidRPr="00134FEB">
        <w:rPr>
          <w:rStyle w:val="eop"/>
          <w:rFonts w:ascii="Rubik" w:hAnsi="Rubik" w:cs="Rubik"/>
          <w:sz w:val="21"/>
          <w:szCs w:val="21"/>
        </w:rPr>
        <w:t> </w:t>
      </w:r>
    </w:p>
    <w:p w14:paraId="578BDB21" w14:textId="77777777" w:rsidR="002349E7" w:rsidRPr="00134FEB" w:rsidRDefault="002349E7" w:rsidP="00AA05CE">
      <w:pPr>
        <w:pStyle w:val="paragraph"/>
        <w:numPr>
          <w:ilvl w:val="0"/>
          <w:numId w:val="10"/>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Is not currently pregnant or planning to become pregnant within the next 6 months</w:t>
      </w:r>
      <w:r w:rsidRPr="00134FEB">
        <w:rPr>
          <w:rStyle w:val="eop"/>
          <w:rFonts w:ascii="Rubik" w:hAnsi="Rubik" w:cs="Rubik"/>
          <w:sz w:val="21"/>
          <w:szCs w:val="21"/>
        </w:rPr>
        <w:t> </w:t>
      </w:r>
    </w:p>
    <w:p w14:paraId="2B62574F" w14:textId="77777777" w:rsidR="002349E7" w:rsidRPr="00134FEB" w:rsidRDefault="002349E7" w:rsidP="00AA05CE">
      <w:pPr>
        <w:pStyle w:val="paragraph"/>
        <w:numPr>
          <w:ilvl w:val="0"/>
          <w:numId w:val="10"/>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Is not currently breastfeeding</w:t>
      </w:r>
      <w:r w:rsidRPr="00134FEB">
        <w:rPr>
          <w:rStyle w:val="eop"/>
          <w:rFonts w:ascii="Rubik" w:hAnsi="Rubik" w:cs="Rubik"/>
          <w:sz w:val="21"/>
          <w:szCs w:val="21"/>
        </w:rPr>
        <w:t> </w:t>
      </w:r>
    </w:p>
    <w:p w14:paraId="76BC2EC3" w14:textId="77777777" w:rsidR="002349E7" w:rsidRPr="00134FEB" w:rsidRDefault="002349E7" w:rsidP="00AA05CE">
      <w:pPr>
        <w:pStyle w:val="paragraph"/>
        <w:numPr>
          <w:ilvl w:val="0"/>
          <w:numId w:val="11"/>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Does not have any of the following significant co-morbidities:</w:t>
      </w:r>
      <w:r w:rsidRPr="00134FEB">
        <w:rPr>
          <w:rStyle w:val="eop"/>
          <w:rFonts w:ascii="Rubik" w:hAnsi="Rubik" w:cs="Rubik"/>
          <w:sz w:val="21"/>
          <w:szCs w:val="21"/>
        </w:rPr>
        <w:t> </w:t>
      </w:r>
    </w:p>
    <w:p w14:paraId="2C5AF078" w14:textId="77777777" w:rsidR="002349E7" w:rsidRPr="00134FEB" w:rsidRDefault="002349E7" w:rsidP="00AA05CE">
      <w:pPr>
        <w:pStyle w:val="paragraph"/>
        <w:numPr>
          <w:ilvl w:val="0"/>
          <w:numId w:val="12"/>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active cancer</w:t>
      </w:r>
      <w:r w:rsidRPr="00134FEB">
        <w:rPr>
          <w:rStyle w:val="eop"/>
          <w:rFonts w:ascii="Rubik" w:hAnsi="Rubik" w:cs="Rubik"/>
          <w:sz w:val="21"/>
          <w:szCs w:val="21"/>
        </w:rPr>
        <w:t> </w:t>
      </w:r>
    </w:p>
    <w:p w14:paraId="37C7E85D" w14:textId="77777777" w:rsidR="002349E7" w:rsidRPr="00134FEB" w:rsidRDefault="002349E7" w:rsidP="00AA05CE">
      <w:pPr>
        <w:pStyle w:val="paragraph"/>
        <w:numPr>
          <w:ilvl w:val="0"/>
          <w:numId w:val="12"/>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heart attack or stroke in last 6 months</w:t>
      </w:r>
      <w:r w:rsidRPr="00134FEB">
        <w:rPr>
          <w:rStyle w:val="eop"/>
          <w:rFonts w:ascii="Rubik" w:hAnsi="Rubik" w:cs="Rubik"/>
          <w:sz w:val="21"/>
          <w:szCs w:val="21"/>
        </w:rPr>
        <w:t> </w:t>
      </w:r>
    </w:p>
    <w:p w14:paraId="0B29F72E" w14:textId="77777777" w:rsidR="002349E7" w:rsidRPr="00134FEB" w:rsidRDefault="002349E7" w:rsidP="00AA05CE">
      <w:pPr>
        <w:pStyle w:val="paragraph"/>
        <w:numPr>
          <w:ilvl w:val="0"/>
          <w:numId w:val="12"/>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severe heart failure (defined as New York Heart Association grade 3 or 4)</w:t>
      </w:r>
      <w:r w:rsidRPr="00134FEB">
        <w:rPr>
          <w:rStyle w:val="eop"/>
          <w:rFonts w:ascii="Rubik" w:hAnsi="Rubik" w:cs="Rubik"/>
          <w:sz w:val="21"/>
          <w:szCs w:val="21"/>
        </w:rPr>
        <w:t> </w:t>
      </w:r>
    </w:p>
    <w:p w14:paraId="63FC4672" w14:textId="77777777" w:rsidR="002349E7" w:rsidRPr="00134FEB" w:rsidRDefault="002349E7" w:rsidP="00AA05CE">
      <w:pPr>
        <w:pStyle w:val="paragraph"/>
        <w:numPr>
          <w:ilvl w:val="0"/>
          <w:numId w:val="12"/>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severe renal impairment (most recent eGFR &lt; 30mls/min/1.73m2)</w:t>
      </w:r>
      <w:r w:rsidRPr="00134FEB">
        <w:rPr>
          <w:rStyle w:val="eop"/>
          <w:rFonts w:ascii="Rubik" w:hAnsi="Rubik" w:cs="Rubik"/>
          <w:sz w:val="21"/>
          <w:szCs w:val="21"/>
        </w:rPr>
        <w:t> </w:t>
      </w:r>
    </w:p>
    <w:p w14:paraId="60278018" w14:textId="77777777" w:rsidR="002349E7" w:rsidRPr="00134FEB" w:rsidRDefault="002349E7" w:rsidP="00AA05CE">
      <w:pPr>
        <w:pStyle w:val="paragraph"/>
        <w:numPr>
          <w:ilvl w:val="0"/>
          <w:numId w:val="13"/>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active liver disease (not including NAFLD)</w:t>
      </w:r>
      <w:r w:rsidRPr="00134FEB">
        <w:rPr>
          <w:rStyle w:val="eop"/>
          <w:rFonts w:ascii="Rubik" w:hAnsi="Rubik" w:cs="Rubik"/>
          <w:sz w:val="21"/>
          <w:szCs w:val="21"/>
        </w:rPr>
        <w:t> </w:t>
      </w:r>
    </w:p>
    <w:p w14:paraId="6669FC26" w14:textId="77777777" w:rsidR="002349E7" w:rsidRPr="00134FEB" w:rsidRDefault="002349E7" w:rsidP="00AA05CE">
      <w:pPr>
        <w:pStyle w:val="paragraph"/>
        <w:numPr>
          <w:ilvl w:val="0"/>
          <w:numId w:val="13"/>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active substance use disorder</w:t>
      </w:r>
      <w:r w:rsidRPr="00134FEB">
        <w:rPr>
          <w:rStyle w:val="eop"/>
          <w:rFonts w:ascii="Rubik" w:hAnsi="Rubik" w:cs="Rubik"/>
          <w:sz w:val="21"/>
          <w:szCs w:val="21"/>
        </w:rPr>
        <w:t> </w:t>
      </w:r>
    </w:p>
    <w:p w14:paraId="0AFB1912" w14:textId="77777777" w:rsidR="002349E7" w:rsidRPr="00134FEB" w:rsidRDefault="002349E7" w:rsidP="00AA05CE">
      <w:pPr>
        <w:pStyle w:val="paragraph"/>
        <w:numPr>
          <w:ilvl w:val="0"/>
          <w:numId w:val="13"/>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active eating disorder</w:t>
      </w:r>
      <w:r w:rsidRPr="00134FEB">
        <w:rPr>
          <w:rStyle w:val="eop"/>
          <w:rFonts w:ascii="Rubik" w:hAnsi="Rubik" w:cs="Rubik"/>
          <w:sz w:val="21"/>
          <w:szCs w:val="21"/>
        </w:rPr>
        <w:t> </w:t>
      </w:r>
    </w:p>
    <w:p w14:paraId="5DFD8428" w14:textId="77777777" w:rsidR="002349E7" w:rsidRPr="00134FEB" w:rsidRDefault="002349E7" w:rsidP="00AA05CE">
      <w:pPr>
        <w:pStyle w:val="paragraph"/>
        <w:numPr>
          <w:ilvl w:val="0"/>
          <w:numId w:val="13"/>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porphyria </w:t>
      </w:r>
      <w:r w:rsidRPr="00134FEB">
        <w:rPr>
          <w:rStyle w:val="eop"/>
          <w:rFonts w:ascii="Rubik" w:hAnsi="Rubik" w:cs="Rubik"/>
          <w:sz w:val="21"/>
          <w:szCs w:val="21"/>
        </w:rPr>
        <w:t> </w:t>
      </w:r>
    </w:p>
    <w:p w14:paraId="61C3CA58" w14:textId="77777777" w:rsidR="002349E7" w:rsidRPr="00134FEB" w:rsidRDefault="002349E7" w:rsidP="00AA05CE">
      <w:pPr>
        <w:pStyle w:val="paragraph"/>
        <w:numPr>
          <w:ilvl w:val="0"/>
          <w:numId w:val="13"/>
        </w:numPr>
        <w:spacing w:before="0" w:beforeAutospacing="0" w:after="0" w:afterAutospacing="0"/>
        <w:ind w:left="1080" w:firstLine="0"/>
        <w:jc w:val="both"/>
        <w:textAlignment w:val="baseline"/>
        <w:rPr>
          <w:rFonts w:ascii="Rubik" w:hAnsi="Rubik" w:cs="Rubik"/>
          <w:sz w:val="21"/>
          <w:szCs w:val="21"/>
        </w:rPr>
      </w:pPr>
      <w:r w:rsidRPr="00134FEB">
        <w:rPr>
          <w:rStyle w:val="normaltextrun"/>
          <w:rFonts w:ascii="Rubik" w:hAnsi="Rubik" w:cs="Rubik"/>
          <w:sz w:val="21"/>
          <w:szCs w:val="21"/>
        </w:rPr>
        <w:t>known proliferative retinopathy that has not been treated</w:t>
      </w:r>
      <w:r w:rsidRPr="00134FEB">
        <w:rPr>
          <w:rStyle w:val="eop"/>
          <w:rFonts w:ascii="Rubik" w:hAnsi="Rubik" w:cs="Rubik"/>
          <w:sz w:val="21"/>
          <w:szCs w:val="21"/>
        </w:rPr>
        <w:t> </w:t>
      </w:r>
    </w:p>
    <w:p w14:paraId="2F368DAD" w14:textId="77777777" w:rsidR="002349E7" w:rsidRPr="00134FEB" w:rsidRDefault="002349E7" w:rsidP="00AA05CE">
      <w:pPr>
        <w:pStyle w:val="paragraph"/>
        <w:numPr>
          <w:ilvl w:val="0"/>
          <w:numId w:val="1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Had not recently lost greater than 5% body weight</w:t>
      </w:r>
      <w:r w:rsidRPr="00134FEB">
        <w:rPr>
          <w:rStyle w:val="eop"/>
          <w:rFonts w:ascii="Rubik" w:hAnsi="Rubik" w:cs="Rubik"/>
          <w:sz w:val="21"/>
          <w:szCs w:val="21"/>
        </w:rPr>
        <w:t> </w:t>
      </w:r>
    </w:p>
    <w:p w14:paraId="5AE5FB6A" w14:textId="77777777" w:rsidR="002349E7" w:rsidRPr="00134FEB" w:rsidRDefault="002349E7" w:rsidP="00AA05CE">
      <w:pPr>
        <w:pStyle w:val="paragraph"/>
        <w:numPr>
          <w:ilvl w:val="0"/>
          <w:numId w:val="1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Is not currently on a weight management programme</w:t>
      </w:r>
      <w:r w:rsidRPr="00134FEB">
        <w:rPr>
          <w:rStyle w:val="eop"/>
          <w:rFonts w:ascii="Rubik" w:hAnsi="Rubik" w:cs="Rubik"/>
          <w:sz w:val="21"/>
          <w:szCs w:val="21"/>
        </w:rPr>
        <w:t> </w:t>
      </w:r>
    </w:p>
    <w:p w14:paraId="43EAFBFB" w14:textId="77777777" w:rsidR="002349E7" w:rsidRPr="00134FEB" w:rsidRDefault="002349E7" w:rsidP="00AA05CE">
      <w:pPr>
        <w:pStyle w:val="paragraph"/>
        <w:numPr>
          <w:ilvl w:val="0"/>
          <w:numId w:val="1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Has not undergone / is not awaiting bariatric surgery (unless willing to come off waiting list)</w:t>
      </w:r>
      <w:r w:rsidRPr="00134FEB">
        <w:rPr>
          <w:rStyle w:val="eop"/>
          <w:rFonts w:ascii="Rubik" w:hAnsi="Rubik" w:cs="Rubik"/>
          <w:sz w:val="21"/>
          <w:szCs w:val="21"/>
        </w:rPr>
        <w:t> </w:t>
      </w:r>
    </w:p>
    <w:p w14:paraId="28D1AA4C" w14:textId="77777777" w:rsidR="002349E7" w:rsidRPr="00134FEB" w:rsidRDefault="002349E7" w:rsidP="00AA05CE">
      <w:pPr>
        <w:pStyle w:val="paragraph"/>
        <w:numPr>
          <w:ilvl w:val="0"/>
          <w:numId w:val="14"/>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Health professional assessment that the person is able to understand and meet the demands and monitoring requirements of the NHS LCD Programme</w:t>
      </w:r>
      <w:r w:rsidRPr="00134FEB">
        <w:rPr>
          <w:rStyle w:val="eop"/>
          <w:rFonts w:ascii="Rubik" w:hAnsi="Rubik" w:cs="Rubik"/>
          <w:sz w:val="21"/>
          <w:szCs w:val="21"/>
        </w:rPr>
        <w:t> </w:t>
      </w:r>
    </w:p>
    <w:p w14:paraId="0E7EDE7C" w14:textId="77777777" w:rsidR="002349E7" w:rsidRPr="00134FEB" w:rsidRDefault="002349E7" w:rsidP="00AA05CE">
      <w:pPr>
        <w:pStyle w:val="paragraph"/>
        <w:spacing w:before="0" w:beforeAutospacing="0" w:after="0" w:afterAutospacing="0"/>
        <w:ind w:left="720"/>
        <w:jc w:val="both"/>
        <w:textAlignment w:val="baseline"/>
        <w:rPr>
          <w:rFonts w:ascii="Rubik" w:hAnsi="Rubik" w:cs="Rubik"/>
          <w:sz w:val="18"/>
          <w:szCs w:val="18"/>
        </w:rPr>
      </w:pPr>
      <w:r w:rsidRPr="00134FEB">
        <w:rPr>
          <w:rStyle w:val="eop"/>
          <w:rFonts w:ascii="Rubik" w:hAnsi="Rubik" w:cs="Rubik"/>
          <w:sz w:val="26"/>
          <w:szCs w:val="26"/>
        </w:rPr>
        <w:t> </w:t>
      </w:r>
    </w:p>
    <w:p w14:paraId="3429E95B" w14:textId="77777777" w:rsidR="002349E7" w:rsidRPr="00134FEB" w:rsidRDefault="002349E7" w:rsidP="00AA05CE">
      <w:pPr>
        <w:pStyle w:val="paragraph"/>
        <w:spacing w:before="0" w:beforeAutospacing="0" w:after="0" w:afterAutospacing="0"/>
        <w:jc w:val="both"/>
        <w:textAlignment w:val="baseline"/>
        <w:rPr>
          <w:rFonts w:ascii="Rubik" w:hAnsi="Rubik" w:cs="Rubik"/>
          <w:sz w:val="18"/>
          <w:szCs w:val="18"/>
        </w:rPr>
      </w:pPr>
      <w:r w:rsidRPr="00134FEB">
        <w:rPr>
          <w:rStyle w:val="normaltextrun"/>
          <w:rFonts w:ascii="Rubik" w:hAnsi="Rubik" w:cs="Rubik"/>
          <w:b/>
          <w:bCs/>
          <w:sz w:val="21"/>
          <w:szCs w:val="21"/>
        </w:rPr>
        <w:t>Responsibilities of the referring GP practice:</w:t>
      </w:r>
      <w:r w:rsidRPr="00134FEB">
        <w:rPr>
          <w:rStyle w:val="eop"/>
          <w:rFonts w:ascii="Rubik" w:hAnsi="Rubik" w:cs="Rubik"/>
          <w:sz w:val="21"/>
          <w:szCs w:val="21"/>
        </w:rPr>
        <w:t> </w:t>
      </w:r>
    </w:p>
    <w:p w14:paraId="46EA0546" w14:textId="77777777" w:rsidR="002349E7" w:rsidRPr="00134FEB" w:rsidRDefault="002349E7" w:rsidP="00AA05CE">
      <w:pPr>
        <w:pStyle w:val="paragraph"/>
        <w:numPr>
          <w:ilvl w:val="0"/>
          <w:numId w:val="15"/>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Identify eligible patients and offer referral as appropriate</w:t>
      </w:r>
      <w:r w:rsidRPr="00134FEB">
        <w:rPr>
          <w:rStyle w:val="eop"/>
          <w:rFonts w:ascii="Rubik" w:hAnsi="Rubik" w:cs="Rubik"/>
          <w:color w:val="000000"/>
          <w:sz w:val="21"/>
          <w:szCs w:val="21"/>
        </w:rPr>
        <w:t> </w:t>
      </w:r>
    </w:p>
    <w:p w14:paraId="1AD937A2" w14:textId="77777777" w:rsidR="002349E7" w:rsidRPr="00134FEB" w:rsidRDefault="002349E7" w:rsidP="00AA05CE">
      <w:pPr>
        <w:pStyle w:val="paragraph"/>
        <w:numPr>
          <w:ilvl w:val="0"/>
          <w:numId w:val="15"/>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lastRenderedPageBreak/>
        <w:t>Provide information on concept of remission of Type 2 Diabetes, the LCD service and potential risks and benefits to obtain informed consent</w:t>
      </w:r>
      <w:r w:rsidRPr="00134FEB">
        <w:rPr>
          <w:rStyle w:val="eop"/>
          <w:rFonts w:ascii="Rubik" w:hAnsi="Rubik" w:cs="Rubik"/>
          <w:color w:val="000000"/>
          <w:sz w:val="21"/>
          <w:szCs w:val="21"/>
        </w:rPr>
        <w:t> </w:t>
      </w:r>
    </w:p>
    <w:p w14:paraId="6FEDE7A2" w14:textId="6901485F" w:rsidR="002349E7" w:rsidRPr="00134FEB" w:rsidRDefault="002349E7" w:rsidP="00384152">
      <w:pPr>
        <w:pStyle w:val="paragraph"/>
        <w:numPr>
          <w:ilvl w:val="0"/>
          <w:numId w:val="15"/>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Discuss medication changes to take place on first day of TDR and provide written confirmation of these change to the patient and Provider</w:t>
      </w:r>
      <w:r w:rsidRPr="00134FEB">
        <w:rPr>
          <w:rStyle w:val="eop"/>
          <w:rFonts w:ascii="Rubik" w:hAnsi="Rubik" w:cs="Rubik"/>
          <w:color w:val="000000"/>
          <w:sz w:val="21"/>
          <w:szCs w:val="21"/>
        </w:rPr>
        <w:t> </w:t>
      </w:r>
      <w:r w:rsidRPr="00134FEB">
        <w:rPr>
          <w:rStyle w:val="normaltextrun"/>
          <w:rFonts w:ascii="Rubik" w:hAnsi="Rubik" w:cs="Rubik"/>
          <w:color w:val="000000" w:themeColor="text1"/>
          <w:sz w:val="21"/>
          <w:szCs w:val="21"/>
        </w:rPr>
        <w:t>Respond to any clinical need</w:t>
      </w:r>
      <w:r w:rsidR="731228EB" w:rsidRPr="00134FEB">
        <w:rPr>
          <w:rStyle w:val="normaltextrun"/>
          <w:rFonts w:ascii="Rubik" w:hAnsi="Rubik" w:cs="Rubik"/>
          <w:color w:val="000000" w:themeColor="text1"/>
          <w:sz w:val="21"/>
          <w:szCs w:val="21"/>
        </w:rPr>
        <w:t xml:space="preserve"> </w:t>
      </w:r>
      <w:r w:rsidRPr="00134FEB">
        <w:rPr>
          <w:rStyle w:val="normaltextrun"/>
          <w:rFonts w:ascii="Rubik" w:hAnsi="Rubik" w:cs="Rubik"/>
          <w:color w:val="000000" w:themeColor="text1"/>
          <w:sz w:val="21"/>
          <w:szCs w:val="21"/>
        </w:rPr>
        <w:t>to further adjust medications according to capillary blood glucose and blood pressure monitoring by the Provider</w:t>
      </w:r>
      <w:r w:rsidRPr="00134FEB">
        <w:rPr>
          <w:rStyle w:val="eop"/>
          <w:rFonts w:ascii="Rubik" w:hAnsi="Rubik" w:cs="Rubik"/>
          <w:color w:val="000000" w:themeColor="text1"/>
          <w:sz w:val="21"/>
          <w:szCs w:val="21"/>
        </w:rPr>
        <w:t> </w:t>
      </w:r>
    </w:p>
    <w:p w14:paraId="14DC2685" w14:textId="77777777" w:rsidR="002349E7" w:rsidRPr="00134FEB" w:rsidRDefault="002349E7" w:rsidP="63F0263F">
      <w:pPr>
        <w:pStyle w:val="paragraph"/>
        <w:numPr>
          <w:ilvl w:val="0"/>
          <w:numId w:val="16"/>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themeColor="text1"/>
          <w:sz w:val="21"/>
          <w:szCs w:val="21"/>
        </w:rPr>
        <w:t>Respond to adverse events if patient contacts practice directly with an urgent clinical need or is directed to the GP practice by the Provider</w:t>
      </w:r>
      <w:r w:rsidRPr="00134FEB">
        <w:rPr>
          <w:rStyle w:val="eop"/>
          <w:rFonts w:ascii="Rubik" w:hAnsi="Rubik" w:cs="Rubik"/>
          <w:color w:val="000000" w:themeColor="text1"/>
          <w:sz w:val="21"/>
          <w:szCs w:val="21"/>
        </w:rPr>
        <w:t> </w:t>
      </w:r>
    </w:p>
    <w:p w14:paraId="5CBE68BF" w14:textId="77777777" w:rsidR="002349E7" w:rsidRPr="00134FEB" w:rsidRDefault="002349E7" w:rsidP="00AA05CE">
      <w:pPr>
        <w:pStyle w:val="paragraph"/>
        <w:numPr>
          <w:ilvl w:val="0"/>
          <w:numId w:val="16"/>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Arrange review of patient at 6 months and 12 months after starting LCD programme with repeat HbA1c –with further medication adjustment as necessary</w:t>
      </w:r>
      <w:r w:rsidRPr="00134FEB">
        <w:rPr>
          <w:rStyle w:val="eop"/>
          <w:rFonts w:ascii="Rubik" w:hAnsi="Rubik" w:cs="Rubik"/>
          <w:sz w:val="21"/>
          <w:szCs w:val="21"/>
        </w:rPr>
        <w:t> </w:t>
      </w:r>
    </w:p>
    <w:p w14:paraId="0FC55C94" w14:textId="77777777" w:rsidR="002349E7" w:rsidRPr="00134FEB" w:rsidRDefault="002349E7" w:rsidP="00AA05CE">
      <w:pPr>
        <w:pStyle w:val="paragraph"/>
        <w:spacing w:before="0" w:beforeAutospacing="0" w:after="0" w:afterAutospacing="0"/>
        <w:ind w:left="720"/>
        <w:jc w:val="both"/>
        <w:textAlignment w:val="baseline"/>
        <w:rPr>
          <w:rFonts w:ascii="Rubik" w:hAnsi="Rubik" w:cs="Rubik"/>
          <w:sz w:val="18"/>
          <w:szCs w:val="18"/>
        </w:rPr>
      </w:pPr>
      <w:r w:rsidRPr="00134FEB">
        <w:rPr>
          <w:rStyle w:val="eop"/>
          <w:rFonts w:ascii="Rubik" w:hAnsi="Rubik" w:cs="Rubik"/>
          <w:sz w:val="21"/>
          <w:szCs w:val="21"/>
        </w:rPr>
        <w:t> </w:t>
      </w:r>
    </w:p>
    <w:p w14:paraId="217D508A" w14:textId="77777777" w:rsidR="002349E7" w:rsidRPr="00134FEB" w:rsidRDefault="002349E7" w:rsidP="00AA05CE">
      <w:pPr>
        <w:pStyle w:val="paragraph"/>
        <w:spacing w:before="0" w:beforeAutospacing="0" w:after="0" w:afterAutospacing="0"/>
        <w:ind w:left="720"/>
        <w:jc w:val="both"/>
        <w:textAlignment w:val="baseline"/>
        <w:rPr>
          <w:rFonts w:ascii="Rubik" w:hAnsi="Rubik" w:cs="Rubik"/>
          <w:sz w:val="18"/>
          <w:szCs w:val="18"/>
        </w:rPr>
      </w:pPr>
      <w:r w:rsidRPr="00134FEB">
        <w:rPr>
          <w:rStyle w:val="eop"/>
          <w:rFonts w:ascii="Rubik" w:hAnsi="Rubik" w:cs="Rubik"/>
          <w:sz w:val="21"/>
          <w:szCs w:val="21"/>
        </w:rPr>
        <w:t> </w:t>
      </w:r>
    </w:p>
    <w:p w14:paraId="5F878F81" w14:textId="77777777" w:rsidR="002349E7" w:rsidRPr="00134FEB" w:rsidRDefault="002349E7" w:rsidP="00AA05CE">
      <w:pPr>
        <w:pStyle w:val="paragraph"/>
        <w:spacing w:before="0" w:beforeAutospacing="0" w:after="0" w:afterAutospacing="0"/>
        <w:jc w:val="both"/>
        <w:textAlignment w:val="baseline"/>
        <w:rPr>
          <w:rFonts w:ascii="Rubik" w:hAnsi="Rubik" w:cs="Rubik"/>
          <w:sz w:val="18"/>
          <w:szCs w:val="18"/>
        </w:rPr>
      </w:pPr>
      <w:r w:rsidRPr="00134FEB">
        <w:rPr>
          <w:rStyle w:val="normaltextrun"/>
          <w:rFonts w:ascii="Rubik" w:hAnsi="Rubik" w:cs="Rubik"/>
          <w:b/>
          <w:bCs/>
          <w:sz w:val="21"/>
          <w:szCs w:val="21"/>
        </w:rPr>
        <w:t>Responsibilities of Provider:</w:t>
      </w:r>
      <w:r w:rsidRPr="00134FEB">
        <w:rPr>
          <w:rStyle w:val="eop"/>
          <w:rFonts w:ascii="Rubik" w:hAnsi="Rubik" w:cs="Rubik"/>
          <w:sz w:val="21"/>
          <w:szCs w:val="21"/>
        </w:rPr>
        <w:t> </w:t>
      </w:r>
    </w:p>
    <w:p w14:paraId="6E992BBD" w14:textId="77777777" w:rsidR="002349E7" w:rsidRPr="00134FEB" w:rsidRDefault="002349E7" w:rsidP="00AA05CE">
      <w:pPr>
        <w:pStyle w:val="paragraph"/>
        <w:numPr>
          <w:ilvl w:val="0"/>
          <w:numId w:val="17"/>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Attempt contact with patients referred within 5 working days to provide further information about the LCD service and book Individual Assessment</w:t>
      </w:r>
      <w:r w:rsidRPr="00134FEB">
        <w:rPr>
          <w:rStyle w:val="eop"/>
          <w:rFonts w:ascii="Rubik" w:hAnsi="Rubik" w:cs="Rubik"/>
          <w:color w:val="000000"/>
          <w:sz w:val="21"/>
          <w:szCs w:val="21"/>
        </w:rPr>
        <w:t> </w:t>
      </w:r>
    </w:p>
    <w:p w14:paraId="052FF6BD" w14:textId="77777777" w:rsidR="002349E7" w:rsidRPr="00134FEB" w:rsidRDefault="002349E7" w:rsidP="00AA05CE">
      <w:pPr>
        <w:pStyle w:val="paragraph"/>
        <w:numPr>
          <w:ilvl w:val="0"/>
          <w:numId w:val="17"/>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Confirm medication changes with patient and written instructions from referrer</w:t>
      </w:r>
      <w:r w:rsidRPr="00134FEB">
        <w:rPr>
          <w:rStyle w:val="eop"/>
          <w:rFonts w:ascii="Rubik" w:hAnsi="Rubik" w:cs="Rubik"/>
          <w:color w:val="000000"/>
          <w:sz w:val="21"/>
          <w:szCs w:val="21"/>
        </w:rPr>
        <w:t> </w:t>
      </w:r>
    </w:p>
    <w:p w14:paraId="1C19548E" w14:textId="77777777" w:rsidR="002349E7" w:rsidRPr="00134FEB" w:rsidRDefault="002349E7" w:rsidP="00AA05CE">
      <w:pPr>
        <w:pStyle w:val="paragraph"/>
        <w:numPr>
          <w:ilvl w:val="0"/>
          <w:numId w:val="17"/>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Perform / arrange for monitoring of capillary blood glucose and blood pressure (in people taking BP-lowering medications at time of referral)</w:t>
      </w:r>
      <w:r w:rsidRPr="00134FEB">
        <w:rPr>
          <w:rStyle w:val="eop"/>
          <w:rFonts w:ascii="Rubik" w:hAnsi="Rubik" w:cs="Rubik"/>
          <w:color w:val="000000"/>
          <w:sz w:val="21"/>
          <w:szCs w:val="21"/>
        </w:rPr>
        <w:t> </w:t>
      </w:r>
    </w:p>
    <w:p w14:paraId="12CD7F4A" w14:textId="77777777" w:rsidR="002349E7" w:rsidRPr="00134FEB" w:rsidRDefault="002349E7" w:rsidP="00AA05CE">
      <w:pPr>
        <w:pStyle w:val="paragraph"/>
        <w:numPr>
          <w:ilvl w:val="0"/>
          <w:numId w:val="17"/>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Identify where capillary blood glucose and blood pressure fall outside of specified parameters and communicate appropriately with GP practice for further action</w:t>
      </w:r>
      <w:r w:rsidRPr="00134FEB">
        <w:rPr>
          <w:rStyle w:val="eop"/>
          <w:rFonts w:ascii="Rubik" w:hAnsi="Rubik" w:cs="Rubik"/>
          <w:color w:val="000000"/>
          <w:sz w:val="21"/>
          <w:szCs w:val="21"/>
        </w:rPr>
        <w:t> </w:t>
      </w:r>
    </w:p>
    <w:p w14:paraId="7098FA18" w14:textId="77777777" w:rsidR="002349E7" w:rsidRPr="00134FEB" w:rsidRDefault="002349E7" w:rsidP="00AA05CE">
      <w:pPr>
        <w:pStyle w:val="paragraph"/>
        <w:numPr>
          <w:ilvl w:val="0"/>
          <w:numId w:val="17"/>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Act as initial contact for patients experiencing a concurrent or adverse event which is not considered an emergency</w:t>
      </w:r>
      <w:r w:rsidRPr="00134FEB">
        <w:rPr>
          <w:rStyle w:val="eop"/>
          <w:rFonts w:ascii="Rubik" w:hAnsi="Rubik" w:cs="Rubik"/>
          <w:color w:val="000000"/>
          <w:sz w:val="21"/>
          <w:szCs w:val="21"/>
        </w:rPr>
        <w:t> </w:t>
      </w:r>
    </w:p>
    <w:p w14:paraId="37BF5E1C" w14:textId="77777777" w:rsidR="002349E7" w:rsidRPr="00134FEB" w:rsidRDefault="002349E7" w:rsidP="00AA05CE">
      <w:pPr>
        <w:pStyle w:val="paragraph"/>
        <w:numPr>
          <w:ilvl w:val="0"/>
          <w:numId w:val="18"/>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Appropriately triage and respond to adverse events –including signposting the patient to the GP practice or to other services</w:t>
      </w:r>
      <w:r w:rsidRPr="00134FEB">
        <w:rPr>
          <w:rStyle w:val="eop"/>
          <w:rFonts w:ascii="Rubik" w:hAnsi="Rubik" w:cs="Rubik"/>
          <w:color w:val="000000"/>
          <w:sz w:val="21"/>
          <w:szCs w:val="21"/>
        </w:rPr>
        <w:t> </w:t>
      </w:r>
    </w:p>
    <w:p w14:paraId="438A2785" w14:textId="77777777" w:rsidR="002349E7" w:rsidRPr="00134FEB" w:rsidRDefault="002349E7" w:rsidP="00AA05CE">
      <w:pPr>
        <w:pStyle w:val="paragraph"/>
        <w:numPr>
          <w:ilvl w:val="0"/>
          <w:numId w:val="18"/>
        </w:numPr>
        <w:spacing w:before="0" w:beforeAutospacing="0" w:after="0" w:afterAutospacing="0"/>
        <w:ind w:left="360" w:firstLine="0"/>
        <w:jc w:val="both"/>
        <w:textAlignment w:val="baseline"/>
        <w:rPr>
          <w:rFonts w:ascii="Rubik" w:hAnsi="Rubik" w:cs="Rubik"/>
          <w:color w:val="000000"/>
          <w:sz w:val="21"/>
          <w:szCs w:val="21"/>
        </w:rPr>
      </w:pPr>
      <w:r w:rsidRPr="00134FEB">
        <w:rPr>
          <w:rStyle w:val="normaltextrun"/>
          <w:rFonts w:ascii="Rubik" w:hAnsi="Rubik" w:cs="Rubik"/>
          <w:color w:val="000000"/>
          <w:sz w:val="21"/>
          <w:szCs w:val="21"/>
        </w:rPr>
        <w:t>Provide a starter pack of fibre supplements and ongoing supply as necessary</w:t>
      </w:r>
      <w:r w:rsidRPr="00134FEB">
        <w:rPr>
          <w:rStyle w:val="eop"/>
          <w:rFonts w:ascii="Rubik" w:hAnsi="Rubik" w:cs="Rubik"/>
          <w:color w:val="000000"/>
          <w:sz w:val="21"/>
          <w:szCs w:val="21"/>
        </w:rPr>
        <w:t> </w:t>
      </w:r>
    </w:p>
    <w:p w14:paraId="261B00DF" w14:textId="77777777" w:rsidR="002349E7" w:rsidRPr="00134FEB" w:rsidRDefault="002349E7" w:rsidP="00AA05CE">
      <w:pPr>
        <w:pStyle w:val="paragraph"/>
        <w:numPr>
          <w:ilvl w:val="0"/>
          <w:numId w:val="18"/>
        </w:numPr>
        <w:spacing w:before="0" w:beforeAutospacing="0" w:after="0" w:afterAutospacing="0"/>
        <w:ind w:left="360" w:firstLine="0"/>
        <w:jc w:val="both"/>
        <w:textAlignment w:val="baseline"/>
        <w:rPr>
          <w:rFonts w:ascii="Rubik" w:hAnsi="Rubik" w:cs="Rubik"/>
          <w:sz w:val="21"/>
          <w:szCs w:val="21"/>
        </w:rPr>
      </w:pPr>
      <w:r w:rsidRPr="00134FEB">
        <w:rPr>
          <w:rStyle w:val="normaltextrun"/>
          <w:rFonts w:ascii="Rubik" w:hAnsi="Rubik" w:cs="Rubik"/>
          <w:sz w:val="21"/>
          <w:szCs w:val="21"/>
        </w:rPr>
        <w:t>Optimise uptake and retention on the programme</w:t>
      </w:r>
      <w:r w:rsidRPr="00134FEB">
        <w:rPr>
          <w:rStyle w:val="eop"/>
          <w:rFonts w:ascii="Rubik" w:hAnsi="Rubik" w:cs="Rubik"/>
          <w:sz w:val="21"/>
          <w:szCs w:val="21"/>
        </w:rPr>
        <w:t> </w:t>
      </w:r>
    </w:p>
    <w:p w14:paraId="74FD1F89" w14:textId="77777777" w:rsidR="002349E7" w:rsidRPr="00134FEB" w:rsidRDefault="002349E7" w:rsidP="00AA05CE">
      <w:pPr>
        <w:pStyle w:val="paragraph"/>
        <w:spacing w:before="0" w:beforeAutospacing="0" w:after="0" w:afterAutospacing="0"/>
        <w:jc w:val="both"/>
        <w:textAlignment w:val="baseline"/>
        <w:rPr>
          <w:rFonts w:ascii="Rubik" w:hAnsi="Rubik" w:cs="Rubik"/>
          <w:sz w:val="18"/>
          <w:szCs w:val="18"/>
        </w:rPr>
      </w:pPr>
      <w:r w:rsidRPr="00134FEB">
        <w:rPr>
          <w:rStyle w:val="eop"/>
          <w:rFonts w:ascii="Rubik" w:hAnsi="Rubik" w:cs="Rubik"/>
          <w:sz w:val="40"/>
          <w:szCs w:val="40"/>
        </w:rPr>
        <w:t> </w:t>
      </w:r>
    </w:p>
    <w:sectPr w:rsidR="002349E7" w:rsidRPr="00134FEB" w:rsidSect="006C5F82">
      <w:headerReference w:type="default" r:id="rId11"/>
      <w:footerReference w:type="default" r:id="rId12"/>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A9A3" w14:textId="77777777" w:rsidR="00C222DE" w:rsidRDefault="00C222DE" w:rsidP="002A0170">
      <w:r>
        <w:separator/>
      </w:r>
    </w:p>
  </w:endnote>
  <w:endnote w:type="continuationSeparator" w:id="0">
    <w:p w14:paraId="677033F2" w14:textId="77777777" w:rsidR="00C222DE" w:rsidRDefault="00C222DE" w:rsidP="002A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481598C" w14:paraId="535B0783" w14:textId="77777777" w:rsidTr="0481598C">
      <w:tc>
        <w:tcPr>
          <w:tcW w:w="3005" w:type="dxa"/>
        </w:tcPr>
        <w:p w14:paraId="7AB678B1" w14:textId="3D872D29" w:rsidR="0481598C" w:rsidRDefault="0481598C" w:rsidP="0481598C">
          <w:pPr>
            <w:pStyle w:val="Header"/>
            <w:ind w:left="-115"/>
          </w:pPr>
        </w:p>
      </w:tc>
      <w:tc>
        <w:tcPr>
          <w:tcW w:w="3005" w:type="dxa"/>
        </w:tcPr>
        <w:p w14:paraId="329BE8B3" w14:textId="1B9C40FF" w:rsidR="0481598C" w:rsidRDefault="0481598C" w:rsidP="0481598C">
          <w:pPr>
            <w:pStyle w:val="Header"/>
            <w:jc w:val="center"/>
          </w:pPr>
        </w:p>
      </w:tc>
      <w:tc>
        <w:tcPr>
          <w:tcW w:w="3005" w:type="dxa"/>
        </w:tcPr>
        <w:p w14:paraId="1C67208A" w14:textId="4B310E29" w:rsidR="0481598C" w:rsidRDefault="0481598C" w:rsidP="0481598C">
          <w:pPr>
            <w:pStyle w:val="Header"/>
            <w:ind w:right="-115"/>
            <w:jc w:val="right"/>
          </w:pPr>
        </w:p>
      </w:tc>
    </w:tr>
  </w:tbl>
  <w:p w14:paraId="7CB9CE05" w14:textId="42998216" w:rsidR="0481598C" w:rsidRDefault="0481598C" w:rsidP="0481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56199" w14:textId="77777777" w:rsidR="00C222DE" w:rsidRDefault="00C222DE" w:rsidP="002A0170">
      <w:r>
        <w:separator/>
      </w:r>
    </w:p>
  </w:footnote>
  <w:footnote w:type="continuationSeparator" w:id="0">
    <w:p w14:paraId="6A6FA5A5" w14:textId="77777777" w:rsidR="00C222DE" w:rsidRDefault="00C222DE" w:rsidP="002A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EA6C" w14:textId="77777777" w:rsidR="002A0170" w:rsidRDefault="005579C6">
    <w:pPr>
      <w:pStyle w:val="Header"/>
    </w:pPr>
    <w:r>
      <w:rPr>
        <w:noProof/>
      </w:rPr>
      <w:drawing>
        <wp:anchor distT="0" distB="0" distL="114300" distR="114300" simplePos="0" relativeHeight="251658240" behindDoc="1" locked="0" layoutInCell="1" allowOverlap="1" wp14:anchorId="40A3EA6D" wp14:editId="40A3EA6E">
          <wp:simplePos x="0" y="0"/>
          <wp:positionH relativeFrom="column">
            <wp:posOffset>-914400</wp:posOffset>
          </wp:positionH>
          <wp:positionV relativeFrom="paragraph">
            <wp:posOffset>-449581</wp:posOffset>
          </wp:positionV>
          <wp:extent cx="7538936" cy="10658901"/>
          <wp:effectExtent l="0" t="0" r="5080" b="9525"/>
          <wp:wrapNone/>
          <wp:docPr id="7" name="Picture 7" descr="C:\Users\zoe.jackson\Downloads\xylahealthandwellbeing.c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e.jackson\Downloads\xylahealthandwellbeing.co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934" cy="106687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7C3"/>
    <w:multiLevelType w:val="multilevel"/>
    <w:tmpl w:val="D73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33BE3"/>
    <w:multiLevelType w:val="multilevel"/>
    <w:tmpl w:val="8CF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C0BDC"/>
    <w:multiLevelType w:val="hybridMultilevel"/>
    <w:tmpl w:val="49E2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091"/>
    <w:multiLevelType w:val="multilevel"/>
    <w:tmpl w:val="AEA09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707035"/>
    <w:multiLevelType w:val="multilevel"/>
    <w:tmpl w:val="EFD206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88425A"/>
    <w:multiLevelType w:val="multilevel"/>
    <w:tmpl w:val="7F9C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B11C1"/>
    <w:multiLevelType w:val="multilevel"/>
    <w:tmpl w:val="AA6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71E18"/>
    <w:multiLevelType w:val="multilevel"/>
    <w:tmpl w:val="651A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A7BDD"/>
    <w:multiLevelType w:val="hybridMultilevel"/>
    <w:tmpl w:val="4DE00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F7F28"/>
    <w:multiLevelType w:val="hybridMultilevel"/>
    <w:tmpl w:val="0866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52CDD"/>
    <w:multiLevelType w:val="multilevel"/>
    <w:tmpl w:val="9440B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9620A"/>
    <w:multiLevelType w:val="multilevel"/>
    <w:tmpl w:val="B0729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49238AB"/>
    <w:multiLevelType w:val="multilevel"/>
    <w:tmpl w:val="736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126AC"/>
    <w:multiLevelType w:val="multilevel"/>
    <w:tmpl w:val="BFF82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7BF01EC"/>
    <w:multiLevelType w:val="multilevel"/>
    <w:tmpl w:val="DAC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A33E3D"/>
    <w:multiLevelType w:val="multilevel"/>
    <w:tmpl w:val="DB2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5A353C"/>
    <w:multiLevelType w:val="multilevel"/>
    <w:tmpl w:val="0C2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0525A8"/>
    <w:multiLevelType w:val="multilevel"/>
    <w:tmpl w:val="CEA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54218"/>
    <w:multiLevelType w:val="multilevel"/>
    <w:tmpl w:val="C02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5832F2"/>
    <w:multiLevelType w:val="multilevel"/>
    <w:tmpl w:val="5E2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977"/>
    <w:multiLevelType w:val="multilevel"/>
    <w:tmpl w:val="B5F6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492172"/>
    <w:multiLevelType w:val="multilevel"/>
    <w:tmpl w:val="6F5A2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51B5BF8"/>
    <w:multiLevelType w:val="multilevel"/>
    <w:tmpl w:val="2A9AC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7F54D57"/>
    <w:multiLevelType w:val="multilevel"/>
    <w:tmpl w:val="8996B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214CA7"/>
    <w:multiLevelType w:val="multilevel"/>
    <w:tmpl w:val="C6C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A94631"/>
    <w:multiLevelType w:val="multilevel"/>
    <w:tmpl w:val="21C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8"/>
  </w:num>
  <w:num w:numId="4">
    <w:abstractNumId w:val="20"/>
  </w:num>
  <w:num w:numId="5">
    <w:abstractNumId w:val="5"/>
  </w:num>
  <w:num w:numId="6">
    <w:abstractNumId w:val="21"/>
  </w:num>
  <w:num w:numId="7">
    <w:abstractNumId w:val="19"/>
  </w:num>
  <w:num w:numId="8">
    <w:abstractNumId w:val="4"/>
  </w:num>
  <w:num w:numId="9">
    <w:abstractNumId w:val="22"/>
  </w:num>
  <w:num w:numId="10">
    <w:abstractNumId w:val="14"/>
  </w:num>
  <w:num w:numId="11">
    <w:abstractNumId w:val="1"/>
  </w:num>
  <w:num w:numId="12">
    <w:abstractNumId w:val="23"/>
  </w:num>
  <w:num w:numId="13">
    <w:abstractNumId w:val="11"/>
  </w:num>
  <w:num w:numId="14">
    <w:abstractNumId w:val="12"/>
  </w:num>
  <w:num w:numId="15">
    <w:abstractNumId w:val="17"/>
  </w:num>
  <w:num w:numId="16">
    <w:abstractNumId w:val="25"/>
  </w:num>
  <w:num w:numId="17">
    <w:abstractNumId w:val="15"/>
  </w:num>
  <w:num w:numId="18">
    <w:abstractNumId w:val="24"/>
  </w:num>
  <w:num w:numId="19">
    <w:abstractNumId w:val="6"/>
  </w:num>
  <w:num w:numId="20">
    <w:abstractNumId w:val="7"/>
  </w:num>
  <w:num w:numId="21">
    <w:abstractNumId w:val="16"/>
  </w:num>
  <w:num w:numId="22">
    <w:abstractNumId w:val="3"/>
  </w:num>
  <w:num w:numId="23">
    <w:abstractNumId w:val="10"/>
  </w:num>
  <w:num w:numId="24">
    <w:abstractNumId w:val="0"/>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70"/>
    <w:rsid w:val="0008581D"/>
    <w:rsid w:val="000F35CD"/>
    <w:rsid w:val="000F4A00"/>
    <w:rsid w:val="0010657B"/>
    <w:rsid w:val="00134FEB"/>
    <w:rsid w:val="00152B69"/>
    <w:rsid w:val="00192B1B"/>
    <w:rsid w:val="001967A7"/>
    <w:rsid w:val="002349E7"/>
    <w:rsid w:val="00256344"/>
    <w:rsid w:val="002A0170"/>
    <w:rsid w:val="002B7142"/>
    <w:rsid w:val="005579C6"/>
    <w:rsid w:val="005C71FC"/>
    <w:rsid w:val="005F7179"/>
    <w:rsid w:val="00644024"/>
    <w:rsid w:val="00677E35"/>
    <w:rsid w:val="006C5F82"/>
    <w:rsid w:val="006F0D18"/>
    <w:rsid w:val="007328AA"/>
    <w:rsid w:val="0074256F"/>
    <w:rsid w:val="00801EE2"/>
    <w:rsid w:val="00843A84"/>
    <w:rsid w:val="00AA05CE"/>
    <w:rsid w:val="00AD37F9"/>
    <w:rsid w:val="00B54A7D"/>
    <w:rsid w:val="00B9164C"/>
    <w:rsid w:val="00BC3624"/>
    <w:rsid w:val="00C222DE"/>
    <w:rsid w:val="00C26B03"/>
    <w:rsid w:val="00C521DA"/>
    <w:rsid w:val="00C804D8"/>
    <w:rsid w:val="00CE3B2E"/>
    <w:rsid w:val="00CE6316"/>
    <w:rsid w:val="00CF2ABA"/>
    <w:rsid w:val="00D54B54"/>
    <w:rsid w:val="00E41E73"/>
    <w:rsid w:val="00E6597A"/>
    <w:rsid w:val="00F558BB"/>
    <w:rsid w:val="00F621F1"/>
    <w:rsid w:val="00F9242B"/>
    <w:rsid w:val="00FA4598"/>
    <w:rsid w:val="0481598C"/>
    <w:rsid w:val="0E00BF52"/>
    <w:rsid w:val="1B6B32E1"/>
    <w:rsid w:val="3C4D0D4C"/>
    <w:rsid w:val="5A057BFA"/>
    <w:rsid w:val="5F72D75F"/>
    <w:rsid w:val="63F0263F"/>
    <w:rsid w:val="731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3EA67"/>
  <w15:chartTrackingRefBased/>
  <w15:docId w15:val="{9E15B6C7-6049-4C8D-8329-1795D88D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1D"/>
    <w:pPr>
      <w:spacing w:after="0" w:line="240" w:lineRule="auto"/>
    </w:pPr>
    <w:rPr>
      <w:rFonts w:cstheme="majorBidi"/>
      <w:sz w:val="24"/>
      <w:szCs w:val="24"/>
    </w:rPr>
  </w:style>
  <w:style w:type="paragraph" w:styleId="Heading1">
    <w:name w:val="heading 1"/>
    <w:basedOn w:val="Normal"/>
    <w:next w:val="Normal"/>
    <w:link w:val="Heading1Char"/>
    <w:autoRedefine/>
    <w:uiPriority w:val="9"/>
    <w:qFormat/>
    <w:rsid w:val="0008581D"/>
    <w:pPr>
      <w:keepNext/>
      <w:keepLines/>
      <w:spacing w:before="240" w:after="240"/>
      <w:outlineLvl w:val="0"/>
    </w:pPr>
    <w:rPr>
      <w:rFonts w:asciiTheme="majorHAnsi" w:eastAsiaTheme="majorEastAsia" w:hAnsiTheme="majorHAnsi" w:cstheme="minorBidi"/>
      <w:b/>
      <w:color w:val="4A244A"/>
      <w:sz w:val="30"/>
      <w:szCs w:val="30"/>
    </w:rPr>
  </w:style>
  <w:style w:type="paragraph" w:styleId="Heading2">
    <w:name w:val="heading 2"/>
    <w:basedOn w:val="Normal"/>
    <w:next w:val="Normal"/>
    <w:link w:val="Heading2Char"/>
    <w:uiPriority w:val="9"/>
    <w:semiHidden/>
    <w:unhideWhenUsed/>
    <w:qFormat/>
    <w:rsid w:val="0008581D"/>
    <w:pPr>
      <w:keepNext/>
      <w:keepLines/>
      <w:spacing w:before="40"/>
      <w:outlineLvl w:val="1"/>
    </w:pPr>
    <w:rPr>
      <w:rFonts w:asciiTheme="majorHAnsi" w:eastAsiaTheme="majorEastAsia" w:hAnsiTheme="majorHAnsi"/>
      <w:color w:val="4A244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1D"/>
    <w:rPr>
      <w:rFonts w:asciiTheme="majorHAnsi" w:eastAsiaTheme="majorEastAsia" w:hAnsiTheme="majorHAnsi"/>
      <w:b/>
      <w:color w:val="4A244A"/>
      <w:sz w:val="30"/>
      <w:szCs w:val="30"/>
    </w:rPr>
  </w:style>
  <w:style w:type="paragraph" w:styleId="Header">
    <w:name w:val="header"/>
    <w:basedOn w:val="Normal"/>
    <w:link w:val="HeaderChar"/>
    <w:uiPriority w:val="99"/>
    <w:unhideWhenUsed/>
    <w:rsid w:val="002A0170"/>
    <w:pPr>
      <w:tabs>
        <w:tab w:val="center" w:pos="4513"/>
        <w:tab w:val="right" w:pos="9026"/>
      </w:tabs>
    </w:pPr>
  </w:style>
  <w:style w:type="character" w:customStyle="1" w:styleId="HeaderChar">
    <w:name w:val="Header Char"/>
    <w:basedOn w:val="DefaultParagraphFont"/>
    <w:link w:val="Header"/>
    <w:uiPriority w:val="99"/>
    <w:rsid w:val="002A0170"/>
    <w:rPr>
      <w:rFonts w:ascii="Rubik" w:hAnsi="Rubik" w:cstheme="majorBidi"/>
      <w:sz w:val="24"/>
      <w:szCs w:val="24"/>
    </w:rPr>
  </w:style>
  <w:style w:type="paragraph" w:styleId="Footer">
    <w:name w:val="footer"/>
    <w:basedOn w:val="Normal"/>
    <w:link w:val="FooterChar"/>
    <w:uiPriority w:val="99"/>
    <w:unhideWhenUsed/>
    <w:rsid w:val="002A0170"/>
    <w:pPr>
      <w:tabs>
        <w:tab w:val="center" w:pos="4513"/>
        <w:tab w:val="right" w:pos="9026"/>
      </w:tabs>
    </w:pPr>
  </w:style>
  <w:style w:type="character" w:customStyle="1" w:styleId="FooterChar">
    <w:name w:val="Footer Char"/>
    <w:basedOn w:val="DefaultParagraphFont"/>
    <w:link w:val="Footer"/>
    <w:uiPriority w:val="99"/>
    <w:rsid w:val="002A0170"/>
    <w:rPr>
      <w:rFonts w:ascii="Rubik" w:hAnsi="Rubik" w:cstheme="majorBidi"/>
      <w:sz w:val="24"/>
      <w:szCs w:val="24"/>
    </w:rPr>
  </w:style>
  <w:style w:type="paragraph" w:styleId="BalloonText">
    <w:name w:val="Balloon Text"/>
    <w:basedOn w:val="Normal"/>
    <w:link w:val="BalloonTextChar"/>
    <w:uiPriority w:val="99"/>
    <w:semiHidden/>
    <w:unhideWhenUsed/>
    <w:rsid w:val="002A0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70"/>
    <w:rPr>
      <w:rFonts w:ascii="Segoe UI" w:hAnsi="Segoe UI" w:cs="Segoe UI"/>
      <w:sz w:val="18"/>
      <w:szCs w:val="18"/>
    </w:rPr>
  </w:style>
  <w:style w:type="character" w:customStyle="1" w:styleId="Heading2Char">
    <w:name w:val="Heading 2 Char"/>
    <w:basedOn w:val="DefaultParagraphFont"/>
    <w:link w:val="Heading2"/>
    <w:uiPriority w:val="9"/>
    <w:semiHidden/>
    <w:rsid w:val="0008581D"/>
    <w:rPr>
      <w:rFonts w:asciiTheme="majorHAnsi" w:eastAsiaTheme="majorEastAsia" w:hAnsiTheme="majorHAnsi" w:cstheme="majorBidi"/>
      <w:color w:val="4A244A"/>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4256F"/>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74256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1E73"/>
    <w:pPr>
      <w:spacing w:after="160" w:line="259" w:lineRule="auto"/>
      <w:ind w:left="720"/>
      <w:contextualSpacing/>
    </w:pPr>
    <w:rPr>
      <w:rFonts w:cstheme="minorBidi"/>
      <w:sz w:val="22"/>
      <w:szCs w:val="22"/>
    </w:rPr>
  </w:style>
  <w:style w:type="paragraph" w:customStyle="1" w:styleId="Default">
    <w:name w:val="Default"/>
    <w:rsid w:val="00E41E73"/>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349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349E7"/>
  </w:style>
  <w:style w:type="character" w:customStyle="1" w:styleId="eop">
    <w:name w:val="eop"/>
    <w:basedOn w:val="DefaultParagraphFont"/>
    <w:rsid w:val="0023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1018">
      <w:bodyDiv w:val="1"/>
      <w:marLeft w:val="0"/>
      <w:marRight w:val="0"/>
      <w:marTop w:val="0"/>
      <w:marBottom w:val="0"/>
      <w:divBdr>
        <w:top w:val="none" w:sz="0" w:space="0" w:color="auto"/>
        <w:left w:val="none" w:sz="0" w:space="0" w:color="auto"/>
        <w:bottom w:val="none" w:sz="0" w:space="0" w:color="auto"/>
        <w:right w:val="none" w:sz="0" w:space="0" w:color="auto"/>
      </w:divBdr>
      <w:divsChild>
        <w:div w:id="1713727666">
          <w:marLeft w:val="0"/>
          <w:marRight w:val="0"/>
          <w:marTop w:val="0"/>
          <w:marBottom w:val="0"/>
          <w:divBdr>
            <w:top w:val="none" w:sz="0" w:space="0" w:color="auto"/>
            <w:left w:val="none" w:sz="0" w:space="0" w:color="auto"/>
            <w:bottom w:val="none" w:sz="0" w:space="0" w:color="auto"/>
            <w:right w:val="none" w:sz="0" w:space="0" w:color="auto"/>
          </w:divBdr>
        </w:div>
        <w:div w:id="495649702">
          <w:marLeft w:val="0"/>
          <w:marRight w:val="0"/>
          <w:marTop w:val="0"/>
          <w:marBottom w:val="0"/>
          <w:divBdr>
            <w:top w:val="none" w:sz="0" w:space="0" w:color="auto"/>
            <w:left w:val="none" w:sz="0" w:space="0" w:color="auto"/>
            <w:bottom w:val="none" w:sz="0" w:space="0" w:color="auto"/>
            <w:right w:val="none" w:sz="0" w:space="0" w:color="auto"/>
          </w:divBdr>
        </w:div>
        <w:div w:id="1950231960">
          <w:marLeft w:val="0"/>
          <w:marRight w:val="0"/>
          <w:marTop w:val="0"/>
          <w:marBottom w:val="0"/>
          <w:divBdr>
            <w:top w:val="none" w:sz="0" w:space="0" w:color="auto"/>
            <w:left w:val="none" w:sz="0" w:space="0" w:color="auto"/>
            <w:bottom w:val="none" w:sz="0" w:space="0" w:color="auto"/>
            <w:right w:val="none" w:sz="0" w:space="0" w:color="auto"/>
          </w:divBdr>
        </w:div>
        <w:div w:id="714547907">
          <w:marLeft w:val="0"/>
          <w:marRight w:val="0"/>
          <w:marTop w:val="0"/>
          <w:marBottom w:val="0"/>
          <w:divBdr>
            <w:top w:val="none" w:sz="0" w:space="0" w:color="auto"/>
            <w:left w:val="none" w:sz="0" w:space="0" w:color="auto"/>
            <w:bottom w:val="none" w:sz="0" w:space="0" w:color="auto"/>
            <w:right w:val="none" w:sz="0" w:space="0" w:color="auto"/>
          </w:divBdr>
        </w:div>
        <w:div w:id="418989705">
          <w:marLeft w:val="0"/>
          <w:marRight w:val="0"/>
          <w:marTop w:val="0"/>
          <w:marBottom w:val="0"/>
          <w:divBdr>
            <w:top w:val="none" w:sz="0" w:space="0" w:color="auto"/>
            <w:left w:val="none" w:sz="0" w:space="0" w:color="auto"/>
            <w:bottom w:val="none" w:sz="0" w:space="0" w:color="auto"/>
            <w:right w:val="none" w:sz="0" w:space="0" w:color="auto"/>
          </w:divBdr>
        </w:div>
        <w:div w:id="357892257">
          <w:marLeft w:val="0"/>
          <w:marRight w:val="0"/>
          <w:marTop w:val="0"/>
          <w:marBottom w:val="0"/>
          <w:divBdr>
            <w:top w:val="none" w:sz="0" w:space="0" w:color="auto"/>
            <w:left w:val="none" w:sz="0" w:space="0" w:color="auto"/>
            <w:bottom w:val="none" w:sz="0" w:space="0" w:color="auto"/>
            <w:right w:val="none" w:sz="0" w:space="0" w:color="auto"/>
          </w:divBdr>
          <w:divsChild>
            <w:div w:id="276986247">
              <w:marLeft w:val="0"/>
              <w:marRight w:val="0"/>
              <w:marTop w:val="0"/>
              <w:marBottom w:val="0"/>
              <w:divBdr>
                <w:top w:val="none" w:sz="0" w:space="0" w:color="auto"/>
                <w:left w:val="none" w:sz="0" w:space="0" w:color="auto"/>
                <w:bottom w:val="none" w:sz="0" w:space="0" w:color="auto"/>
                <w:right w:val="none" w:sz="0" w:space="0" w:color="auto"/>
              </w:divBdr>
            </w:div>
            <w:div w:id="1791626469">
              <w:marLeft w:val="0"/>
              <w:marRight w:val="0"/>
              <w:marTop w:val="0"/>
              <w:marBottom w:val="0"/>
              <w:divBdr>
                <w:top w:val="none" w:sz="0" w:space="0" w:color="auto"/>
                <w:left w:val="none" w:sz="0" w:space="0" w:color="auto"/>
                <w:bottom w:val="none" w:sz="0" w:space="0" w:color="auto"/>
                <w:right w:val="none" w:sz="0" w:space="0" w:color="auto"/>
              </w:divBdr>
            </w:div>
            <w:div w:id="1036196418">
              <w:marLeft w:val="0"/>
              <w:marRight w:val="0"/>
              <w:marTop w:val="0"/>
              <w:marBottom w:val="0"/>
              <w:divBdr>
                <w:top w:val="none" w:sz="0" w:space="0" w:color="auto"/>
                <w:left w:val="none" w:sz="0" w:space="0" w:color="auto"/>
                <w:bottom w:val="none" w:sz="0" w:space="0" w:color="auto"/>
                <w:right w:val="none" w:sz="0" w:space="0" w:color="auto"/>
              </w:divBdr>
            </w:div>
            <w:div w:id="916741821">
              <w:marLeft w:val="0"/>
              <w:marRight w:val="0"/>
              <w:marTop w:val="0"/>
              <w:marBottom w:val="0"/>
              <w:divBdr>
                <w:top w:val="none" w:sz="0" w:space="0" w:color="auto"/>
                <w:left w:val="none" w:sz="0" w:space="0" w:color="auto"/>
                <w:bottom w:val="none" w:sz="0" w:space="0" w:color="auto"/>
                <w:right w:val="none" w:sz="0" w:space="0" w:color="auto"/>
              </w:divBdr>
            </w:div>
          </w:divsChild>
        </w:div>
        <w:div w:id="31270484">
          <w:marLeft w:val="0"/>
          <w:marRight w:val="0"/>
          <w:marTop w:val="0"/>
          <w:marBottom w:val="0"/>
          <w:divBdr>
            <w:top w:val="none" w:sz="0" w:space="0" w:color="auto"/>
            <w:left w:val="none" w:sz="0" w:space="0" w:color="auto"/>
            <w:bottom w:val="none" w:sz="0" w:space="0" w:color="auto"/>
            <w:right w:val="none" w:sz="0" w:space="0" w:color="auto"/>
          </w:divBdr>
          <w:divsChild>
            <w:div w:id="1346442194">
              <w:marLeft w:val="0"/>
              <w:marRight w:val="0"/>
              <w:marTop w:val="0"/>
              <w:marBottom w:val="0"/>
              <w:divBdr>
                <w:top w:val="none" w:sz="0" w:space="0" w:color="auto"/>
                <w:left w:val="none" w:sz="0" w:space="0" w:color="auto"/>
                <w:bottom w:val="none" w:sz="0" w:space="0" w:color="auto"/>
                <w:right w:val="none" w:sz="0" w:space="0" w:color="auto"/>
              </w:divBdr>
            </w:div>
            <w:div w:id="1896618519">
              <w:marLeft w:val="0"/>
              <w:marRight w:val="0"/>
              <w:marTop w:val="0"/>
              <w:marBottom w:val="0"/>
              <w:divBdr>
                <w:top w:val="none" w:sz="0" w:space="0" w:color="auto"/>
                <w:left w:val="none" w:sz="0" w:space="0" w:color="auto"/>
                <w:bottom w:val="none" w:sz="0" w:space="0" w:color="auto"/>
                <w:right w:val="none" w:sz="0" w:space="0" w:color="auto"/>
              </w:divBdr>
            </w:div>
            <w:div w:id="1253276294">
              <w:marLeft w:val="0"/>
              <w:marRight w:val="0"/>
              <w:marTop w:val="0"/>
              <w:marBottom w:val="0"/>
              <w:divBdr>
                <w:top w:val="none" w:sz="0" w:space="0" w:color="auto"/>
                <w:left w:val="none" w:sz="0" w:space="0" w:color="auto"/>
                <w:bottom w:val="none" w:sz="0" w:space="0" w:color="auto"/>
                <w:right w:val="none" w:sz="0" w:space="0" w:color="auto"/>
              </w:divBdr>
            </w:div>
            <w:div w:id="1432817051">
              <w:marLeft w:val="0"/>
              <w:marRight w:val="0"/>
              <w:marTop w:val="0"/>
              <w:marBottom w:val="0"/>
              <w:divBdr>
                <w:top w:val="none" w:sz="0" w:space="0" w:color="auto"/>
                <w:left w:val="none" w:sz="0" w:space="0" w:color="auto"/>
                <w:bottom w:val="none" w:sz="0" w:space="0" w:color="auto"/>
                <w:right w:val="none" w:sz="0" w:space="0" w:color="auto"/>
              </w:divBdr>
            </w:div>
          </w:divsChild>
        </w:div>
        <w:div w:id="606929136">
          <w:marLeft w:val="0"/>
          <w:marRight w:val="0"/>
          <w:marTop w:val="0"/>
          <w:marBottom w:val="0"/>
          <w:divBdr>
            <w:top w:val="none" w:sz="0" w:space="0" w:color="auto"/>
            <w:left w:val="none" w:sz="0" w:space="0" w:color="auto"/>
            <w:bottom w:val="none" w:sz="0" w:space="0" w:color="auto"/>
            <w:right w:val="none" w:sz="0" w:space="0" w:color="auto"/>
          </w:divBdr>
          <w:divsChild>
            <w:div w:id="590313219">
              <w:marLeft w:val="0"/>
              <w:marRight w:val="0"/>
              <w:marTop w:val="0"/>
              <w:marBottom w:val="0"/>
              <w:divBdr>
                <w:top w:val="none" w:sz="0" w:space="0" w:color="auto"/>
                <w:left w:val="none" w:sz="0" w:space="0" w:color="auto"/>
                <w:bottom w:val="none" w:sz="0" w:space="0" w:color="auto"/>
                <w:right w:val="none" w:sz="0" w:space="0" w:color="auto"/>
              </w:divBdr>
            </w:div>
            <w:div w:id="1260328882">
              <w:marLeft w:val="0"/>
              <w:marRight w:val="0"/>
              <w:marTop w:val="0"/>
              <w:marBottom w:val="0"/>
              <w:divBdr>
                <w:top w:val="none" w:sz="0" w:space="0" w:color="auto"/>
                <w:left w:val="none" w:sz="0" w:space="0" w:color="auto"/>
                <w:bottom w:val="none" w:sz="0" w:space="0" w:color="auto"/>
                <w:right w:val="none" w:sz="0" w:space="0" w:color="auto"/>
              </w:divBdr>
            </w:div>
          </w:divsChild>
        </w:div>
        <w:div w:id="1615211335">
          <w:marLeft w:val="0"/>
          <w:marRight w:val="0"/>
          <w:marTop w:val="0"/>
          <w:marBottom w:val="0"/>
          <w:divBdr>
            <w:top w:val="none" w:sz="0" w:space="0" w:color="auto"/>
            <w:left w:val="none" w:sz="0" w:space="0" w:color="auto"/>
            <w:bottom w:val="none" w:sz="0" w:space="0" w:color="auto"/>
            <w:right w:val="none" w:sz="0" w:space="0" w:color="auto"/>
          </w:divBdr>
          <w:divsChild>
            <w:div w:id="1817188100">
              <w:marLeft w:val="0"/>
              <w:marRight w:val="0"/>
              <w:marTop w:val="0"/>
              <w:marBottom w:val="0"/>
              <w:divBdr>
                <w:top w:val="none" w:sz="0" w:space="0" w:color="auto"/>
                <w:left w:val="none" w:sz="0" w:space="0" w:color="auto"/>
                <w:bottom w:val="none" w:sz="0" w:space="0" w:color="auto"/>
                <w:right w:val="none" w:sz="0" w:space="0" w:color="auto"/>
              </w:divBdr>
            </w:div>
            <w:div w:id="1559852887">
              <w:marLeft w:val="0"/>
              <w:marRight w:val="0"/>
              <w:marTop w:val="0"/>
              <w:marBottom w:val="0"/>
              <w:divBdr>
                <w:top w:val="none" w:sz="0" w:space="0" w:color="auto"/>
                <w:left w:val="none" w:sz="0" w:space="0" w:color="auto"/>
                <w:bottom w:val="none" w:sz="0" w:space="0" w:color="auto"/>
                <w:right w:val="none" w:sz="0" w:space="0" w:color="auto"/>
              </w:divBdr>
            </w:div>
          </w:divsChild>
        </w:div>
        <w:div w:id="1549150346">
          <w:marLeft w:val="0"/>
          <w:marRight w:val="0"/>
          <w:marTop w:val="0"/>
          <w:marBottom w:val="0"/>
          <w:divBdr>
            <w:top w:val="none" w:sz="0" w:space="0" w:color="auto"/>
            <w:left w:val="none" w:sz="0" w:space="0" w:color="auto"/>
            <w:bottom w:val="none" w:sz="0" w:space="0" w:color="auto"/>
            <w:right w:val="none" w:sz="0" w:space="0" w:color="auto"/>
          </w:divBdr>
          <w:divsChild>
            <w:div w:id="2042195795">
              <w:marLeft w:val="0"/>
              <w:marRight w:val="0"/>
              <w:marTop w:val="0"/>
              <w:marBottom w:val="0"/>
              <w:divBdr>
                <w:top w:val="none" w:sz="0" w:space="0" w:color="auto"/>
                <w:left w:val="none" w:sz="0" w:space="0" w:color="auto"/>
                <w:bottom w:val="none" w:sz="0" w:space="0" w:color="auto"/>
                <w:right w:val="none" w:sz="0" w:space="0" w:color="auto"/>
              </w:divBdr>
            </w:div>
          </w:divsChild>
        </w:div>
        <w:div w:id="1261140992">
          <w:marLeft w:val="0"/>
          <w:marRight w:val="0"/>
          <w:marTop w:val="0"/>
          <w:marBottom w:val="0"/>
          <w:divBdr>
            <w:top w:val="none" w:sz="0" w:space="0" w:color="auto"/>
            <w:left w:val="none" w:sz="0" w:space="0" w:color="auto"/>
            <w:bottom w:val="none" w:sz="0" w:space="0" w:color="auto"/>
            <w:right w:val="none" w:sz="0" w:space="0" w:color="auto"/>
          </w:divBdr>
          <w:divsChild>
            <w:div w:id="210046451">
              <w:marLeft w:val="0"/>
              <w:marRight w:val="0"/>
              <w:marTop w:val="0"/>
              <w:marBottom w:val="0"/>
              <w:divBdr>
                <w:top w:val="none" w:sz="0" w:space="0" w:color="auto"/>
                <w:left w:val="none" w:sz="0" w:space="0" w:color="auto"/>
                <w:bottom w:val="none" w:sz="0" w:space="0" w:color="auto"/>
                <w:right w:val="none" w:sz="0" w:space="0" w:color="auto"/>
              </w:divBdr>
            </w:div>
            <w:div w:id="644352833">
              <w:marLeft w:val="0"/>
              <w:marRight w:val="0"/>
              <w:marTop w:val="0"/>
              <w:marBottom w:val="0"/>
              <w:divBdr>
                <w:top w:val="none" w:sz="0" w:space="0" w:color="auto"/>
                <w:left w:val="none" w:sz="0" w:space="0" w:color="auto"/>
                <w:bottom w:val="none" w:sz="0" w:space="0" w:color="auto"/>
                <w:right w:val="none" w:sz="0" w:space="0" w:color="auto"/>
              </w:divBdr>
            </w:div>
          </w:divsChild>
        </w:div>
        <w:div w:id="475680963">
          <w:marLeft w:val="0"/>
          <w:marRight w:val="0"/>
          <w:marTop w:val="0"/>
          <w:marBottom w:val="0"/>
          <w:divBdr>
            <w:top w:val="none" w:sz="0" w:space="0" w:color="auto"/>
            <w:left w:val="none" w:sz="0" w:space="0" w:color="auto"/>
            <w:bottom w:val="none" w:sz="0" w:space="0" w:color="auto"/>
            <w:right w:val="none" w:sz="0" w:space="0" w:color="auto"/>
          </w:divBdr>
          <w:divsChild>
            <w:div w:id="830559494">
              <w:marLeft w:val="0"/>
              <w:marRight w:val="0"/>
              <w:marTop w:val="0"/>
              <w:marBottom w:val="0"/>
              <w:divBdr>
                <w:top w:val="none" w:sz="0" w:space="0" w:color="auto"/>
                <w:left w:val="none" w:sz="0" w:space="0" w:color="auto"/>
                <w:bottom w:val="none" w:sz="0" w:space="0" w:color="auto"/>
                <w:right w:val="none" w:sz="0" w:space="0" w:color="auto"/>
              </w:divBdr>
            </w:div>
            <w:div w:id="353460742">
              <w:marLeft w:val="0"/>
              <w:marRight w:val="0"/>
              <w:marTop w:val="0"/>
              <w:marBottom w:val="0"/>
              <w:divBdr>
                <w:top w:val="none" w:sz="0" w:space="0" w:color="auto"/>
                <w:left w:val="none" w:sz="0" w:space="0" w:color="auto"/>
                <w:bottom w:val="none" w:sz="0" w:space="0" w:color="auto"/>
                <w:right w:val="none" w:sz="0" w:space="0" w:color="auto"/>
              </w:divBdr>
            </w:div>
          </w:divsChild>
        </w:div>
        <w:div w:id="704185046">
          <w:marLeft w:val="0"/>
          <w:marRight w:val="0"/>
          <w:marTop w:val="0"/>
          <w:marBottom w:val="0"/>
          <w:divBdr>
            <w:top w:val="none" w:sz="0" w:space="0" w:color="auto"/>
            <w:left w:val="none" w:sz="0" w:space="0" w:color="auto"/>
            <w:bottom w:val="none" w:sz="0" w:space="0" w:color="auto"/>
            <w:right w:val="none" w:sz="0" w:space="0" w:color="auto"/>
          </w:divBdr>
          <w:divsChild>
            <w:div w:id="1483808825">
              <w:marLeft w:val="0"/>
              <w:marRight w:val="0"/>
              <w:marTop w:val="0"/>
              <w:marBottom w:val="0"/>
              <w:divBdr>
                <w:top w:val="none" w:sz="0" w:space="0" w:color="auto"/>
                <w:left w:val="none" w:sz="0" w:space="0" w:color="auto"/>
                <w:bottom w:val="none" w:sz="0" w:space="0" w:color="auto"/>
                <w:right w:val="none" w:sz="0" w:space="0" w:color="auto"/>
              </w:divBdr>
            </w:div>
            <w:div w:id="727269718">
              <w:marLeft w:val="0"/>
              <w:marRight w:val="0"/>
              <w:marTop w:val="0"/>
              <w:marBottom w:val="0"/>
              <w:divBdr>
                <w:top w:val="none" w:sz="0" w:space="0" w:color="auto"/>
                <w:left w:val="none" w:sz="0" w:space="0" w:color="auto"/>
                <w:bottom w:val="none" w:sz="0" w:space="0" w:color="auto"/>
                <w:right w:val="none" w:sz="0" w:space="0" w:color="auto"/>
              </w:divBdr>
            </w:div>
            <w:div w:id="209998181">
              <w:marLeft w:val="0"/>
              <w:marRight w:val="0"/>
              <w:marTop w:val="0"/>
              <w:marBottom w:val="0"/>
              <w:divBdr>
                <w:top w:val="none" w:sz="0" w:space="0" w:color="auto"/>
                <w:left w:val="none" w:sz="0" w:space="0" w:color="auto"/>
                <w:bottom w:val="none" w:sz="0" w:space="0" w:color="auto"/>
                <w:right w:val="none" w:sz="0" w:space="0" w:color="auto"/>
              </w:divBdr>
            </w:div>
            <w:div w:id="540560997">
              <w:marLeft w:val="0"/>
              <w:marRight w:val="0"/>
              <w:marTop w:val="0"/>
              <w:marBottom w:val="0"/>
              <w:divBdr>
                <w:top w:val="none" w:sz="0" w:space="0" w:color="auto"/>
                <w:left w:val="none" w:sz="0" w:space="0" w:color="auto"/>
                <w:bottom w:val="none" w:sz="0" w:space="0" w:color="auto"/>
                <w:right w:val="none" w:sz="0" w:space="0" w:color="auto"/>
              </w:divBdr>
            </w:div>
          </w:divsChild>
        </w:div>
        <w:div w:id="232594587">
          <w:marLeft w:val="0"/>
          <w:marRight w:val="0"/>
          <w:marTop w:val="0"/>
          <w:marBottom w:val="0"/>
          <w:divBdr>
            <w:top w:val="none" w:sz="0" w:space="0" w:color="auto"/>
            <w:left w:val="none" w:sz="0" w:space="0" w:color="auto"/>
            <w:bottom w:val="none" w:sz="0" w:space="0" w:color="auto"/>
            <w:right w:val="none" w:sz="0" w:space="0" w:color="auto"/>
          </w:divBdr>
          <w:divsChild>
            <w:div w:id="216936795">
              <w:marLeft w:val="0"/>
              <w:marRight w:val="0"/>
              <w:marTop w:val="0"/>
              <w:marBottom w:val="0"/>
              <w:divBdr>
                <w:top w:val="none" w:sz="0" w:space="0" w:color="auto"/>
                <w:left w:val="none" w:sz="0" w:space="0" w:color="auto"/>
                <w:bottom w:val="none" w:sz="0" w:space="0" w:color="auto"/>
                <w:right w:val="none" w:sz="0" w:space="0" w:color="auto"/>
              </w:divBdr>
            </w:div>
          </w:divsChild>
        </w:div>
        <w:div w:id="1547989414">
          <w:marLeft w:val="0"/>
          <w:marRight w:val="0"/>
          <w:marTop w:val="0"/>
          <w:marBottom w:val="0"/>
          <w:divBdr>
            <w:top w:val="none" w:sz="0" w:space="0" w:color="auto"/>
            <w:left w:val="none" w:sz="0" w:space="0" w:color="auto"/>
            <w:bottom w:val="none" w:sz="0" w:space="0" w:color="auto"/>
            <w:right w:val="none" w:sz="0" w:space="0" w:color="auto"/>
          </w:divBdr>
          <w:divsChild>
            <w:div w:id="1632320638">
              <w:marLeft w:val="0"/>
              <w:marRight w:val="0"/>
              <w:marTop w:val="0"/>
              <w:marBottom w:val="0"/>
              <w:divBdr>
                <w:top w:val="none" w:sz="0" w:space="0" w:color="auto"/>
                <w:left w:val="none" w:sz="0" w:space="0" w:color="auto"/>
                <w:bottom w:val="none" w:sz="0" w:space="0" w:color="auto"/>
                <w:right w:val="none" w:sz="0" w:space="0" w:color="auto"/>
              </w:divBdr>
            </w:div>
            <w:div w:id="910886648">
              <w:marLeft w:val="0"/>
              <w:marRight w:val="0"/>
              <w:marTop w:val="0"/>
              <w:marBottom w:val="0"/>
              <w:divBdr>
                <w:top w:val="none" w:sz="0" w:space="0" w:color="auto"/>
                <w:left w:val="none" w:sz="0" w:space="0" w:color="auto"/>
                <w:bottom w:val="none" w:sz="0" w:space="0" w:color="auto"/>
                <w:right w:val="none" w:sz="0" w:space="0" w:color="auto"/>
              </w:divBdr>
            </w:div>
            <w:div w:id="1760977629">
              <w:marLeft w:val="0"/>
              <w:marRight w:val="0"/>
              <w:marTop w:val="0"/>
              <w:marBottom w:val="0"/>
              <w:divBdr>
                <w:top w:val="none" w:sz="0" w:space="0" w:color="auto"/>
                <w:left w:val="none" w:sz="0" w:space="0" w:color="auto"/>
                <w:bottom w:val="none" w:sz="0" w:space="0" w:color="auto"/>
                <w:right w:val="none" w:sz="0" w:space="0" w:color="auto"/>
              </w:divBdr>
            </w:div>
          </w:divsChild>
        </w:div>
        <w:div w:id="785387969">
          <w:marLeft w:val="0"/>
          <w:marRight w:val="0"/>
          <w:marTop w:val="0"/>
          <w:marBottom w:val="0"/>
          <w:divBdr>
            <w:top w:val="none" w:sz="0" w:space="0" w:color="auto"/>
            <w:left w:val="none" w:sz="0" w:space="0" w:color="auto"/>
            <w:bottom w:val="none" w:sz="0" w:space="0" w:color="auto"/>
            <w:right w:val="none" w:sz="0" w:space="0" w:color="auto"/>
          </w:divBdr>
          <w:divsChild>
            <w:div w:id="547449758">
              <w:marLeft w:val="0"/>
              <w:marRight w:val="0"/>
              <w:marTop w:val="0"/>
              <w:marBottom w:val="0"/>
              <w:divBdr>
                <w:top w:val="none" w:sz="0" w:space="0" w:color="auto"/>
                <w:left w:val="none" w:sz="0" w:space="0" w:color="auto"/>
                <w:bottom w:val="none" w:sz="0" w:space="0" w:color="auto"/>
                <w:right w:val="none" w:sz="0" w:space="0" w:color="auto"/>
              </w:divBdr>
            </w:div>
            <w:div w:id="1760984387">
              <w:marLeft w:val="0"/>
              <w:marRight w:val="0"/>
              <w:marTop w:val="0"/>
              <w:marBottom w:val="0"/>
              <w:divBdr>
                <w:top w:val="none" w:sz="0" w:space="0" w:color="auto"/>
                <w:left w:val="none" w:sz="0" w:space="0" w:color="auto"/>
                <w:bottom w:val="none" w:sz="0" w:space="0" w:color="auto"/>
                <w:right w:val="none" w:sz="0" w:space="0" w:color="auto"/>
              </w:divBdr>
            </w:div>
          </w:divsChild>
        </w:div>
        <w:div w:id="147865830">
          <w:marLeft w:val="0"/>
          <w:marRight w:val="0"/>
          <w:marTop w:val="0"/>
          <w:marBottom w:val="0"/>
          <w:divBdr>
            <w:top w:val="none" w:sz="0" w:space="0" w:color="auto"/>
            <w:left w:val="none" w:sz="0" w:space="0" w:color="auto"/>
            <w:bottom w:val="none" w:sz="0" w:space="0" w:color="auto"/>
            <w:right w:val="none" w:sz="0" w:space="0" w:color="auto"/>
          </w:divBdr>
          <w:divsChild>
            <w:div w:id="892035104">
              <w:marLeft w:val="0"/>
              <w:marRight w:val="0"/>
              <w:marTop w:val="0"/>
              <w:marBottom w:val="0"/>
              <w:divBdr>
                <w:top w:val="none" w:sz="0" w:space="0" w:color="auto"/>
                <w:left w:val="none" w:sz="0" w:space="0" w:color="auto"/>
                <w:bottom w:val="none" w:sz="0" w:space="0" w:color="auto"/>
                <w:right w:val="none" w:sz="0" w:space="0" w:color="auto"/>
              </w:divBdr>
            </w:div>
            <w:div w:id="1074280093">
              <w:marLeft w:val="0"/>
              <w:marRight w:val="0"/>
              <w:marTop w:val="0"/>
              <w:marBottom w:val="0"/>
              <w:divBdr>
                <w:top w:val="none" w:sz="0" w:space="0" w:color="auto"/>
                <w:left w:val="none" w:sz="0" w:space="0" w:color="auto"/>
                <w:bottom w:val="none" w:sz="0" w:space="0" w:color="auto"/>
                <w:right w:val="none" w:sz="0" w:space="0" w:color="auto"/>
              </w:divBdr>
            </w:div>
            <w:div w:id="269168527">
              <w:marLeft w:val="0"/>
              <w:marRight w:val="0"/>
              <w:marTop w:val="0"/>
              <w:marBottom w:val="0"/>
              <w:divBdr>
                <w:top w:val="none" w:sz="0" w:space="0" w:color="auto"/>
                <w:left w:val="none" w:sz="0" w:space="0" w:color="auto"/>
                <w:bottom w:val="none" w:sz="0" w:space="0" w:color="auto"/>
                <w:right w:val="none" w:sz="0" w:space="0" w:color="auto"/>
              </w:divBdr>
            </w:div>
          </w:divsChild>
        </w:div>
        <w:div w:id="1469779994">
          <w:marLeft w:val="0"/>
          <w:marRight w:val="0"/>
          <w:marTop w:val="0"/>
          <w:marBottom w:val="0"/>
          <w:divBdr>
            <w:top w:val="none" w:sz="0" w:space="0" w:color="auto"/>
            <w:left w:val="none" w:sz="0" w:space="0" w:color="auto"/>
            <w:bottom w:val="none" w:sz="0" w:space="0" w:color="auto"/>
            <w:right w:val="none" w:sz="0" w:space="0" w:color="auto"/>
          </w:divBdr>
          <w:divsChild>
            <w:div w:id="114833519">
              <w:marLeft w:val="0"/>
              <w:marRight w:val="0"/>
              <w:marTop w:val="0"/>
              <w:marBottom w:val="0"/>
              <w:divBdr>
                <w:top w:val="none" w:sz="0" w:space="0" w:color="auto"/>
                <w:left w:val="none" w:sz="0" w:space="0" w:color="auto"/>
                <w:bottom w:val="none" w:sz="0" w:space="0" w:color="auto"/>
                <w:right w:val="none" w:sz="0" w:space="0" w:color="auto"/>
              </w:divBdr>
            </w:div>
            <w:div w:id="1743984450">
              <w:marLeft w:val="0"/>
              <w:marRight w:val="0"/>
              <w:marTop w:val="0"/>
              <w:marBottom w:val="0"/>
              <w:divBdr>
                <w:top w:val="none" w:sz="0" w:space="0" w:color="auto"/>
                <w:left w:val="none" w:sz="0" w:space="0" w:color="auto"/>
                <w:bottom w:val="none" w:sz="0" w:space="0" w:color="auto"/>
                <w:right w:val="none" w:sz="0" w:space="0" w:color="auto"/>
              </w:divBdr>
            </w:div>
          </w:divsChild>
        </w:div>
        <w:div w:id="16396697">
          <w:marLeft w:val="0"/>
          <w:marRight w:val="0"/>
          <w:marTop w:val="0"/>
          <w:marBottom w:val="0"/>
          <w:divBdr>
            <w:top w:val="none" w:sz="0" w:space="0" w:color="auto"/>
            <w:left w:val="none" w:sz="0" w:space="0" w:color="auto"/>
            <w:bottom w:val="none" w:sz="0" w:space="0" w:color="auto"/>
            <w:right w:val="none" w:sz="0" w:space="0" w:color="auto"/>
          </w:divBdr>
          <w:divsChild>
            <w:div w:id="471486593">
              <w:marLeft w:val="0"/>
              <w:marRight w:val="0"/>
              <w:marTop w:val="0"/>
              <w:marBottom w:val="0"/>
              <w:divBdr>
                <w:top w:val="none" w:sz="0" w:space="0" w:color="auto"/>
                <w:left w:val="none" w:sz="0" w:space="0" w:color="auto"/>
                <w:bottom w:val="none" w:sz="0" w:space="0" w:color="auto"/>
                <w:right w:val="none" w:sz="0" w:space="0" w:color="auto"/>
              </w:divBdr>
            </w:div>
            <w:div w:id="1295670472">
              <w:marLeft w:val="0"/>
              <w:marRight w:val="0"/>
              <w:marTop w:val="0"/>
              <w:marBottom w:val="0"/>
              <w:divBdr>
                <w:top w:val="none" w:sz="0" w:space="0" w:color="auto"/>
                <w:left w:val="none" w:sz="0" w:space="0" w:color="auto"/>
                <w:bottom w:val="none" w:sz="0" w:space="0" w:color="auto"/>
                <w:right w:val="none" w:sz="0" w:space="0" w:color="auto"/>
              </w:divBdr>
            </w:div>
          </w:divsChild>
        </w:div>
        <w:div w:id="2039742631">
          <w:marLeft w:val="0"/>
          <w:marRight w:val="0"/>
          <w:marTop w:val="0"/>
          <w:marBottom w:val="0"/>
          <w:divBdr>
            <w:top w:val="none" w:sz="0" w:space="0" w:color="auto"/>
            <w:left w:val="none" w:sz="0" w:space="0" w:color="auto"/>
            <w:bottom w:val="none" w:sz="0" w:space="0" w:color="auto"/>
            <w:right w:val="none" w:sz="0" w:space="0" w:color="auto"/>
          </w:divBdr>
          <w:divsChild>
            <w:div w:id="854929304">
              <w:marLeft w:val="0"/>
              <w:marRight w:val="0"/>
              <w:marTop w:val="0"/>
              <w:marBottom w:val="0"/>
              <w:divBdr>
                <w:top w:val="none" w:sz="0" w:space="0" w:color="auto"/>
                <w:left w:val="none" w:sz="0" w:space="0" w:color="auto"/>
                <w:bottom w:val="none" w:sz="0" w:space="0" w:color="auto"/>
                <w:right w:val="none" w:sz="0" w:space="0" w:color="auto"/>
              </w:divBdr>
            </w:div>
            <w:div w:id="9045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A244A"/>
      </a:dk2>
      <a:lt2>
        <a:srgbClr val="A6B5BF"/>
      </a:lt2>
      <a:accent1>
        <a:srgbClr val="4A244A"/>
      </a:accent1>
      <a:accent2>
        <a:srgbClr val="0A3052"/>
      </a:accent2>
      <a:accent3>
        <a:srgbClr val="307D91"/>
      </a:accent3>
      <a:accent4>
        <a:srgbClr val="CCE0FF"/>
      </a:accent4>
      <a:accent5>
        <a:srgbClr val="E0AA47"/>
      </a:accent5>
      <a:accent6>
        <a:srgbClr val="30B091"/>
      </a:accent6>
      <a:hlink>
        <a:srgbClr val="A6B5B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37t xmlns="e4d966cc-d19f-4fe9-97ea-ca39f6129846">
      <UserInfo>
        <DisplayName/>
        <AccountId xsi:nil="true"/>
        <AccountType/>
      </UserInfo>
    </x37t>
    <_x0061_on5 xmlns="e4d966cc-d19f-4fe9-97ea-ca39f6129846" xsi:nil="true"/>
    <_ip_UnifiedCompliancePolicyProperties xmlns="http://schemas.microsoft.com/sharepoint/v3" xsi:nil="true"/>
    <Status xmlns="e4d966cc-d19f-4fe9-97ea-ca39f6129846" xsi:nil="true"/>
    <Comments xmlns="e4d966cc-d19f-4fe9-97ea-ca39f6129846" xsi:nil="true"/>
    <Author0 xmlns="e4d966cc-d19f-4fe9-97ea-ca39f61298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80D65ADE644E8282E21BBBC49A31" ma:contentTypeVersion="20" ma:contentTypeDescription="Create a new document." ma:contentTypeScope="" ma:versionID="5a23c67cd3ba11b5193e15713f802c3a">
  <xsd:schema xmlns:xsd="http://www.w3.org/2001/XMLSchema" xmlns:xs="http://www.w3.org/2001/XMLSchema" xmlns:p="http://schemas.microsoft.com/office/2006/metadata/properties" xmlns:ns1="http://schemas.microsoft.com/sharepoint/v3" xmlns:ns2="e4d966cc-d19f-4fe9-97ea-ca39f6129846" xmlns:ns3="100e26d2-269f-4875-9d3f-575ce234e9c9" targetNamespace="http://schemas.microsoft.com/office/2006/metadata/properties" ma:root="true" ma:fieldsID="d0df1a6fda5c5e09720e7d5369b4e0ab" ns1:_="" ns2:_="" ns3:_="">
    <xsd:import namespace="http://schemas.microsoft.com/sharepoint/v3"/>
    <xsd:import namespace="e4d966cc-d19f-4fe9-97ea-ca39f6129846"/>
    <xsd:import namespace="100e26d2-269f-4875-9d3f-575ce234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Author0" minOccurs="0"/>
                <xsd:element ref="ns2:Status" minOccurs="0"/>
                <xsd:element ref="ns2:x37t" minOccurs="0"/>
                <xsd:element ref="ns2:_x0061_on5"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66cc-d19f-4fe9-97ea-ca39f612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uthor0" ma:index="21" nillable="true" ma:displayName="Author" ma:description="Name of author" ma:format="Dropdown" ma:internalName="Author0">
      <xsd:simpleType>
        <xsd:restriction base="dms:Text">
          <xsd:maxLength value="255"/>
        </xsd:restriction>
      </xsd:simpleType>
    </xsd:element>
    <xsd:element name="Status" ma:index="22" nillable="true" ma:displayName="Status" ma:description="Describes status of blog" ma:format="Dropdown" ma:internalName="Status">
      <xsd:simpleType>
        <xsd:restriction base="dms:Choice">
          <xsd:enumeration value="1st Draft submitted"/>
          <xsd:enumeration value="In Review by MDT"/>
          <xsd:enumeration value="Non MDT Review"/>
          <xsd:enumeration value="Signed Off"/>
          <xsd:enumeration value="Not for publishing"/>
        </xsd:restriction>
      </xsd:simpleType>
    </xsd:element>
    <xsd:element name="x37t" ma:index="23" nillable="true" ma:displayName="Who" ma:list="UserInfo" ma:internalName="x37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1_on5" ma:index="24" nillable="true" ma:displayName="Due Date" ma:internalName="_x0061_on5">
      <xsd:simpleType>
        <xsd:restriction base="dms:DateTime"/>
      </xsd:simpleType>
    </xsd:element>
    <xsd:element name="Comments" ma:index="25" nillable="true" ma:displayName="Comments" ma:internalName="Comments">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e26d2-269f-4875-9d3f-575ce234e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BB16-3F38-4152-B5A3-9D76719D2068}">
  <ds:schemaRefs>
    <ds:schemaRef ds:uri="http://schemas.microsoft.com/sharepoint/v3/contenttype/forms"/>
  </ds:schemaRefs>
</ds:datastoreItem>
</file>

<file path=customXml/itemProps2.xml><?xml version="1.0" encoding="utf-8"?>
<ds:datastoreItem xmlns:ds="http://schemas.openxmlformats.org/officeDocument/2006/customXml" ds:itemID="{7C4BAB16-3A80-4423-9DB3-89B1E7777E76}">
  <ds:schemaRefs>
    <ds:schemaRef ds:uri="http://schemas.microsoft.com/office/2006/metadata/properties"/>
    <ds:schemaRef ds:uri="100e26d2-269f-4875-9d3f-575ce234e9c9"/>
    <ds:schemaRef ds:uri="http://schemas.microsoft.com/sharepoint/v3"/>
    <ds:schemaRef ds:uri="e4d966cc-d19f-4fe9-97ea-ca39f612984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7FD49B4E-548B-4264-BA07-936122B0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966cc-d19f-4fe9-97ea-ca39f6129846"/>
    <ds:schemaRef ds:uri="100e26d2-269f-4875-9d3f-575ce234e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5CBFB-A36F-4698-9194-9A16FE93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Jackson</dc:creator>
  <cp:keywords/>
  <dc:description/>
  <cp:lastModifiedBy>Sam Lovatt</cp:lastModifiedBy>
  <cp:revision>2</cp:revision>
  <dcterms:created xsi:type="dcterms:W3CDTF">2021-05-14T08:41:00Z</dcterms:created>
  <dcterms:modified xsi:type="dcterms:W3CDTF">2021-05-14T08:41:00Z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0x010100EFCA80D65ADE644E8282E21BBBC49A31</vt:lpwstr>
  </property>
</Properties>
</file>